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325F4" w14:textId="77777777" w:rsidR="00EE2031" w:rsidRPr="008E022C" w:rsidRDefault="00EE2031">
      <w:pPr>
        <w:rPr>
          <w:rFonts w:eastAsia="Arial Unicode MS"/>
          <w:b/>
        </w:rPr>
      </w:pPr>
    </w:p>
    <w:p w14:paraId="20E60CD3" w14:textId="77777777" w:rsidR="000C28B8" w:rsidRPr="000C28B8" w:rsidRDefault="000C28B8" w:rsidP="000C28B8">
      <w:pPr>
        <w:pBdr>
          <w:top w:val="single" w:sz="4" w:space="1" w:color="auto"/>
          <w:left w:val="single" w:sz="4" w:space="4" w:color="auto"/>
          <w:bottom w:val="single" w:sz="4" w:space="1" w:color="auto"/>
          <w:right w:val="single" w:sz="4" w:space="4" w:color="auto"/>
        </w:pBdr>
        <w:rPr>
          <w:rFonts w:eastAsia="Arial Unicode MS"/>
          <w:b/>
          <w:color w:val="C00000"/>
        </w:rPr>
      </w:pPr>
      <w:r w:rsidRPr="000C28B8">
        <w:rPr>
          <w:rFonts w:eastAsia="Arial Unicode MS"/>
          <w:b/>
          <w:color w:val="C00000"/>
        </w:rPr>
        <w:t>DISCLAIMER PER CONSULTAZIONE PUBBLICA</w:t>
      </w:r>
    </w:p>
    <w:p w14:paraId="3486B433" w14:textId="1B296658" w:rsidR="000C28B8" w:rsidRPr="000C28B8" w:rsidRDefault="000C28B8" w:rsidP="000C28B8">
      <w:pPr>
        <w:pBdr>
          <w:top w:val="single" w:sz="4" w:space="1" w:color="auto"/>
          <w:left w:val="single" w:sz="4" w:space="4" w:color="auto"/>
          <w:bottom w:val="single" w:sz="4" w:space="1" w:color="auto"/>
          <w:right w:val="single" w:sz="4" w:space="4" w:color="auto"/>
        </w:pBdr>
        <w:rPr>
          <w:rFonts w:eastAsia="Arial Unicode MS"/>
          <w:b/>
          <w:color w:val="C00000"/>
        </w:rPr>
      </w:pPr>
      <w:r w:rsidRPr="000C28B8">
        <w:rPr>
          <w:rFonts w:eastAsia="Arial Unicode MS"/>
          <w:b/>
          <w:color w:val="C00000"/>
        </w:rPr>
        <w:t>1.</w:t>
      </w:r>
      <w:r>
        <w:rPr>
          <w:rFonts w:eastAsia="Arial Unicode MS"/>
          <w:b/>
          <w:color w:val="C00000"/>
        </w:rPr>
        <w:t xml:space="preserve"> </w:t>
      </w:r>
      <w:r w:rsidRPr="000C28B8">
        <w:rPr>
          <w:rFonts w:eastAsia="Arial Unicode MS"/>
          <w:b/>
          <w:color w:val="C00000"/>
        </w:rPr>
        <w:t>i dati riportati nell'introduzione sono riferiti all'esercizio finanziario 2023 di cui al Bilancio di Genere redatto e pubblicato dal Dipartimento della Ragioneria Generale dello Stato nel 2024;</w:t>
      </w:r>
    </w:p>
    <w:p w14:paraId="3A362F88" w14:textId="4BB5752D" w:rsidR="00EE2031" w:rsidRDefault="000C28B8" w:rsidP="000C28B8">
      <w:pPr>
        <w:pBdr>
          <w:top w:val="single" w:sz="4" w:space="1" w:color="auto"/>
          <w:left w:val="single" w:sz="4" w:space="4" w:color="auto"/>
          <w:bottom w:val="single" w:sz="4" w:space="1" w:color="auto"/>
          <w:right w:val="single" w:sz="4" w:space="4" w:color="auto"/>
        </w:pBdr>
        <w:rPr>
          <w:rFonts w:eastAsia="Arial Unicode MS"/>
          <w:b/>
          <w:color w:val="C00000"/>
        </w:rPr>
      </w:pPr>
      <w:r w:rsidRPr="000C28B8">
        <w:rPr>
          <w:rFonts w:eastAsia="Arial Unicode MS"/>
          <w:b/>
          <w:color w:val="C00000"/>
        </w:rPr>
        <w:t>2.</w:t>
      </w:r>
      <w:r>
        <w:rPr>
          <w:rFonts w:eastAsia="Arial Unicode MS"/>
          <w:b/>
          <w:color w:val="C00000"/>
        </w:rPr>
        <w:t xml:space="preserve"> </w:t>
      </w:r>
      <w:r w:rsidRPr="000C28B8">
        <w:rPr>
          <w:rFonts w:eastAsia="Arial Unicode MS"/>
          <w:b/>
          <w:color w:val="C00000"/>
        </w:rPr>
        <w:t>le percentuali a supporto degli indicatori di cui al punto 7.2 e relativi prospetti sono da considerarsi provvisorie, in attesa di condivisione e accordo con le autorità competenti;</w:t>
      </w:r>
    </w:p>
    <w:p w14:paraId="0F6AE34B" w14:textId="77777777" w:rsidR="000C28B8" w:rsidRDefault="000C28B8" w:rsidP="000C28B8">
      <w:pPr>
        <w:pBdr>
          <w:top w:val="single" w:sz="4" w:space="1" w:color="auto"/>
          <w:left w:val="single" w:sz="4" w:space="4" w:color="auto"/>
          <w:bottom w:val="single" w:sz="4" w:space="1" w:color="auto"/>
          <w:right w:val="single" w:sz="4" w:space="4" w:color="auto"/>
        </w:pBdr>
        <w:rPr>
          <w:rFonts w:eastAsia="Arial Unicode MS"/>
          <w:b/>
          <w:color w:val="C00000"/>
        </w:rPr>
      </w:pPr>
    </w:p>
    <w:p w14:paraId="4BCA3A17" w14:textId="6993E737" w:rsidR="00EE2031" w:rsidRPr="000C28B8" w:rsidRDefault="000C28B8" w:rsidP="00005563">
      <w:pPr>
        <w:pBdr>
          <w:top w:val="single" w:sz="4" w:space="1" w:color="auto"/>
          <w:left w:val="single" w:sz="4" w:space="4" w:color="auto"/>
          <w:bottom w:val="single" w:sz="4" w:space="1" w:color="auto"/>
          <w:right w:val="single" w:sz="4" w:space="4" w:color="auto"/>
        </w:pBdr>
        <w:rPr>
          <w:rFonts w:eastAsia="Arial Unicode MS"/>
          <w:b/>
          <w:color w:val="C00000"/>
        </w:rPr>
      </w:pPr>
      <w:r>
        <w:rPr>
          <w:rFonts w:eastAsia="Arial Unicode MS"/>
          <w:b/>
          <w:color w:val="C00000"/>
        </w:rPr>
        <w:t>NOTA:</w:t>
      </w:r>
      <w:r w:rsidR="00005563" w:rsidRPr="00005563">
        <w:rPr>
          <w:rFonts w:eastAsia="Arial Unicode MS"/>
          <w:b/>
          <w:color w:val="C00000"/>
        </w:rPr>
        <w:t xml:space="preserve"> Il presente documento è di proprietà di UNI e condiviso in via riservata.</w:t>
      </w:r>
      <w:r w:rsidR="002D479F">
        <w:rPr>
          <w:rFonts w:eastAsia="Arial Unicode MS"/>
          <w:b/>
          <w:color w:val="C00000"/>
        </w:rPr>
        <w:t xml:space="preserve"> La riproduzione </w:t>
      </w:r>
      <w:r w:rsidR="00937974">
        <w:rPr>
          <w:rFonts w:eastAsia="Arial Unicode MS"/>
          <w:b/>
          <w:color w:val="C00000"/>
        </w:rPr>
        <w:t xml:space="preserve">non autorizzata </w:t>
      </w:r>
      <w:r w:rsidR="002D479F">
        <w:rPr>
          <w:rFonts w:eastAsia="Arial Unicode MS"/>
          <w:b/>
          <w:color w:val="C00000"/>
        </w:rPr>
        <w:t>è espressamente vietat</w:t>
      </w:r>
      <w:r w:rsidR="00937974">
        <w:rPr>
          <w:rFonts w:eastAsia="Arial Unicode MS"/>
          <w:b/>
          <w:color w:val="C00000"/>
        </w:rPr>
        <w:t>a.</w:t>
      </w:r>
    </w:p>
    <w:p w14:paraId="28235B59" w14:textId="77777777" w:rsidR="00EE2031" w:rsidRPr="008E022C" w:rsidRDefault="00EE2031">
      <w:pPr>
        <w:rPr>
          <w:rFonts w:eastAsia="Arial Unicode MS"/>
          <w:b/>
        </w:rPr>
      </w:pPr>
    </w:p>
    <w:p w14:paraId="6F743ABF" w14:textId="77777777" w:rsidR="00EE2031" w:rsidRPr="003128ED" w:rsidRDefault="00EE2031">
      <w:pPr>
        <w:rPr>
          <w:rFonts w:eastAsia="Arial Unicode MS"/>
          <w:b/>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812"/>
      </w:tblGrid>
      <w:tr w:rsidR="00EE2031" w:rsidRPr="003128ED" w14:paraId="337D3B5E" w14:textId="77777777" w:rsidTr="099806E9">
        <w:tc>
          <w:tcPr>
            <w:tcW w:w="2268" w:type="dxa"/>
          </w:tcPr>
          <w:p w14:paraId="58FEB449" w14:textId="7134ECAF" w:rsidR="00EE2031" w:rsidRPr="003128ED" w:rsidRDefault="00EE2031" w:rsidP="00E0170A">
            <w:pPr>
              <w:spacing w:before="240" w:after="240"/>
              <w:rPr>
                <w:rFonts w:eastAsia="Arial Unicode MS"/>
                <w:b/>
              </w:rPr>
            </w:pPr>
            <w:r w:rsidRPr="003128ED">
              <w:rPr>
                <w:rFonts w:eastAsia="Arial Unicode MS"/>
                <w:b/>
              </w:rPr>
              <w:t>UNI/</w:t>
            </w:r>
            <w:proofErr w:type="spellStart"/>
            <w:r w:rsidRPr="003128ED">
              <w:rPr>
                <w:rFonts w:eastAsia="Arial Unicode MS"/>
                <w:b/>
              </w:rPr>
              <w:t>PdR</w:t>
            </w:r>
            <w:proofErr w:type="spellEnd"/>
            <w:r w:rsidRPr="003128ED">
              <w:rPr>
                <w:rFonts w:eastAsia="Arial Unicode MS"/>
                <w:b/>
              </w:rPr>
              <w:t xml:space="preserve"> xx:20</w:t>
            </w:r>
            <w:r w:rsidR="00E0170A" w:rsidRPr="003128ED">
              <w:rPr>
                <w:rFonts w:eastAsia="Arial Unicode MS"/>
                <w:b/>
              </w:rPr>
              <w:t>2</w:t>
            </w:r>
            <w:r w:rsidR="00337667">
              <w:rPr>
                <w:rFonts w:eastAsia="Arial Unicode MS"/>
                <w:b/>
              </w:rPr>
              <w:t>5</w:t>
            </w:r>
          </w:p>
        </w:tc>
        <w:tc>
          <w:tcPr>
            <w:tcW w:w="5812" w:type="dxa"/>
          </w:tcPr>
          <w:p w14:paraId="3E573AF2" w14:textId="2926340E" w:rsidR="00EE2031" w:rsidRPr="003128ED" w:rsidRDefault="00D52541" w:rsidP="00586C20">
            <w:pPr>
              <w:spacing w:before="240" w:after="240"/>
              <w:rPr>
                <w:rFonts w:eastAsia="Arial Unicode MS"/>
              </w:rPr>
            </w:pPr>
            <w:r w:rsidRPr="00D52541">
              <w:rPr>
                <w:rFonts w:eastAsia="Arial Unicode MS"/>
              </w:rPr>
              <w:t>V</w:t>
            </w:r>
            <w:r w:rsidR="00CE1628" w:rsidRPr="00D52541">
              <w:rPr>
                <w:rFonts w:eastAsia="Arial Unicode MS"/>
              </w:rPr>
              <w:t>alutazione</w:t>
            </w:r>
            <w:r w:rsidRPr="00D52541">
              <w:rPr>
                <w:rFonts w:eastAsia="Arial Unicode MS"/>
              </w:rPr>
              <w:t xml:space="preserve"> di impatto di genere delle misure legislative e dei programmi di investimento ex-ante ed ex-post</w:t>
            </w:r>
          </w:p>
        </w:tc>
      </w:tr>
      <w:tr w:rsidR="00EE2031" w:rsidRPr="003128ED" w14:paraId="0C3581CD" w14:textId="77777777" w:rsidTr="099806E9">
        <w:tc>
          <w:tcPr>
            <w:tcW w:w="2268" w:type="dxa"/>
          </w:tcPr>
          <w:p w14:paraId="665B5CBD" w14:textId="77777777" w:rsidR="00EE2031" w:rsidRPr="003128ED" w:rsidRDefault="00EE2031" w:rsidP="007A01B4">
            <w:pPr>
              <w:spacing w:before="240" w:after="240"/>
              <w:rPr>
                <w:rFonts w:eastAsia="Arial Unicode MS"/>
                <w:b/>
              </w:rPr>
            </w:pPr>
            <w:r w:rsidRPr="003128ED">
              <w:rPr>
                <w:rFonts w:eastAsia="Arial Unicode MS"/>
                <w:b/>
              </w:rPr>
              <w:t>Sommario</w:t>
            </w:r>
          </w:p>
        </w:tc>
        <w:tc>
          <w:tcPr>
            <w:tcW w:w="5812" w:type="dxa"/>
          </w:tcPr>
          <w:p w14:paraId="706A41A4" w14:textId="047B94D7" w:rsidR="002356D3" w:rsidRPr="002356D3" w:rsidRDefault="002356D3" w:rsidP="002356D3">
            <w:pPr>
              <w:spacing w:before="240" w:after="240"/>
              <w:rPr>
                <w:rFonts w:eastAsia="Arial Unicode MS"/>
                <w:iCs/>
              </w:rPr>
            </w:pPr>
            <w:r w:rsidRPr="002356D3">
              <w:rPr>
                <w:rFonts w:eastAsia="Arial Unicode MS"/>
                <w:iCs/>
              </w:rPr>
              <w:t xml:space="preserve">La presente prassi di riferimento fornisce </w:t>
            </w:r>
            <w:r w:rsidR="00A0204A">
              <w:rPr>
                <w:rFonts w:eastAsia="Arial Unicode MS"/>
                <w:iCs/>
              </w:rPr>
              <w:t>raccomandazioni e requisiti per</w:t>
            </w:r>
            <w:r w:rsidRPr="002356D3">
              <w:rPr>
                <w:rFonts w:eastAsia="Arial Unicode MS"/>
                <w:iCs/>
              </w:rPr>
              <w:t xml:space="preserve"> l'adozione di un insieme di indicatori prestazionali (KPI) inerenti alla Valutazione di Impatto di Genere (VIG) ex ante ed ex post di Progetti di investimento e misure legislative da parte della Pubblica Amministrazione con riferimento particolare alle seguenti aree tematiche:</w:t>
            </w:r>
          </w:p>
          <w:p w14:paraId="376514E8" w14:textId="77777777" w:rsidR="002356D3" w:rsidRPr="002356D3" w:rsidRDefault="002356D3" w:rsidP="00D576C0">
            <w:pPr>
              <w:numPr>
                <w:ilvl w:val="0"/>
                <w:numId w:val="9"/>
              </w:numPr>
              <w:spacing w:before="240" w:after="240"/>
              <w:rPr>
                <w:rFonts w:eastAsia="Arial Unicode MS"/>
                <w:bCs/>
                <w:iCs/>
              </w:rPr>
            </w:pPr>
            <w:r w:rsidRPr="002356D3">
              <w:rPr>
                <w:rFonts w:eastAsia="Arial Unicode MS"/>
                <w:bCs/>
                <w:iCs/>
              </w:rPr>
              <w:t>crescita occupazionale femminile in Italia;</w:t>
            </w:r>
          </w:p>
          <w:p w14:paraId="3BDFEA83" w14:textId="77777777" w:rsidR="002356D3" w:rsidRPr="002356D3" w:rsidRDefault="002356D3" w:rsidP="00D576C0">
            <w:pPr>
              <w:numPr>
                <w:ilvl w:val="0"/>
                <w:numId w:val="9"/>
              </w:numPr>
              <w:spacing w:before="240" w:after="240"/>
              <w:rPr>
                <w:rFonts w:eastAsia="Arial Unicode MS"/>
                <w:bCs/>
                <w:iCs/>
              </w:rPr>
            </w:pPr>
            <w:r w:rsidRPr="002356D3">
              <w:rPr>
                <w:rFonts w:eastAsia="Arial Unicode MS"/>
                <w:bCs/>
                <w:iCs/>
              </w:rPr>
              <w:t>aumento rapporti di lavoro femminili a tempo indeterminato;</w:t>
            </w:r>
          </w:p>
          <w:p w14:paraId="2BDB4224" w14:textId="6A6B82F0" w:rsidR="00D576C0" w:rsidRPr="00AE34B3" w:rsidRDefault="00D576C0" w:rsidP="00D576C0">
            <w:pPr>
              <w:pStyle w:val="Paragrafoelenco"/>
              <w:numPr>
                <w:ilvl w:val="0"/>
                <w:numId w:val="9"/>
              </w:numPr>
              <w:spacing w:before="240" w:after="240"/>
              <w:rPr>
                <w:rFonts w:eastAsia="Arial Unicode MS"/>
                <w:b w:val="0"/>
                <w:iCs/>
              </w:rPr>
            </w:pPr>
            <w:r w:rsidRPr="00AE34B3">
              <w:rPr>
                <w:rFonts w:eastAsia="Arial Unicode MS"/>
                <w:b w:val="0"/>
                <w:iCs/>
              </w:rPr>
              <w:t>eliminazione gap salariale tra uomo e donna in caso di lavoro di pari valore</w:t>
            </w:r>
            <w:r w:rsidR="00A54113">
              <w:t>;</w:t>
            </w:r>
          </w:p>
          <w:p w14:paraId="15852ECE" w14:textId="77777777" w:rsidR="00D576C0" w:rsidRPr="00AE34B3" w:rsidRDefault="00D576C0" w:rsidP="00D576C0">
            <w:pPr>
              <w:pStyle w:val="Paragrafoelenco"/>
              <w:numPr>
                <w:ilvl w:val="0"/>
                <w:numId w:val="9"/>
              </w:numPr>
              <w:spacing w:before="240" w:after="240"/>
              <w:rPr>
                <w:rFonts w:eastAsia="Arial Unicode MS"/>
                <w:b w:val="0"/>
                <w:iCs/>
              </w:rPr>
            </w:pPr>
            <w:r w:rsidRPr="00AE34B3">
              <w:rPr>
                <w:rFonts w:eastAsia="Arial Unicode MS"/>
                <w:b w:val="0"/>
                <w:iCs/>
              </w:rPr>
              <w:t>crescita affidamenti ad imprese femminili;</w:t>
            </w:r>
          </w:p>
          <w:p w14:paraId="31615281" w14:textId="637F3103" w:rsidR="00D576C0" w:rsidRPr="00AE34B3" w:rsidRDefault="00D576C0" w:rsidP="00D576C0">
            <w:pPr>
              <w:pStyle w:val="Paragrafoelenco"/>
              <w:numPr>
                <w:ilvl w:val="0"/>
                <w:numId w:val="9"/>
              </w:numPr>
              <w:spacing w:before="240" w:after="240"/>
              <w:rPr>
                <w:rFonts w:eastAsia="Arial Unicode MS"/>
                <w:b w:val="0"/>
                <w:iCs/>
              </w:rPr>
            </w:pPr>
            <w:r w:rsidRPr="00AE34B3">
              <w:rPr>
                <w:rFonts w:eastAsia="Arial Unicode MS"/>
                <w:b w:val="0"/>
                <w:iCs/>
              </w:rPr>
              <w:t>premialità nelle gare di appalto a fronte del possesso della certificazione ai sensi della UNI/</w:t>
            </w:r>
            <w:proofErr w:type="spellStart"/>
            <w:r w:rsidRPr="00AE34B3">
              <w:rPr>
                <w:rFonts w:eastAsia="Arial Unicode MS"/>
                <w:b w:val="0"/>
                <w:iCs/>
              </w:rPr>
              <w:t>PdR</w:t>
            </w:r>
            <w:proofErr w:type="spellEnd"/>
            <w:r w:rsidR="00E14D77">
              <w:rPr>
                <w:rFonts w:eastAsia="Arial Unicode MS"/>
                <w:b w:val="0"/>
                <w:iCs/>
              </w:rPr>
              <w:t xml:space="preserve"> 1</w:t>
            </w:r>
            <w:r w:rsidRPr="00AE34B3">
              <w:rPr>
                <w:rFonts w:eastAsia="Arial Unicode MS"/>
                <w:b w:val="0"/>
                <w:iCs/>
              </w:rPr>
              <w:t>2</w:t>
            </w:r>
            <w:r w:rsidR="00E14D77">
              <w:rPr>
                <w:rFonts w:eastAsia="Arial Unicode MS"/>
                <w:b w:val="0"/>
                <w:iCs/>
              </w:rPr>
              <w:t>5:</w:t>
            </w:r>
            <w:r w:rsidRPr="00AE34B3">
              <w:rPr>
                <w:rFonts w:eastAsia="Arial Unicode MS"/>
                <w:b w:val="0"/>
                <w:iCs/>
              </w:rPr>
              <w:t xml:space="preserve">2022 in applicazione </w:t>
            </w:r>
            <w:r>
              <w:rPr>
                <w:rFonts w:eastAsia="Arial Unicode MS"/>
                <w:b w:val="0"/>
                <w:iCs/>
              </w:rPr>
              <w:t>della legislazione vigente</w:t>
            </w:r>
            <w:r w:rsidR="00A54113">
              <w:rPr>
                <w:rFonts w:eastAsia="Arial Unicode MS"/>
                <w:iCs/>
              </w:rPr>
              <w:t>.</w:t>
            </w:r>
          </w:p>
          <w:p w14:paraId="5A01A576" w14:textId="37D49C56" w:rsidR="00EE2031" w:rsidRPr="003128ED" w:rsidRDefault="002356D3" w:rsidP="002356D3">
            <w:pPr>
              <w:spacing w:before="240" w:after="240"/>
              <w:rPr>
                <w:rFonts w:eastAsia="Arial Unicode MS"/>
                <w:iCs/>
              </w:rPr>
            </w:pPr>
            <w:r w:rsidRPr="002356D3">
              <w:rPr>
                <w:rFonts w:eastAsia="Arial Unicode MS"/>
                <w:bCs/>
                <w:iCs/>
              </w:rPr>
              <w:t>Per ognuna delle aree citate, il documento definisce degli indicatori minimi di riferimento.</w:t>
            </w:r>
          </w:p>
        </w:tc>
      </w:tr>
      <w:tr w:rsidR="00EE2031" w:rsidRPr="003128ED" w14:paraId="0AAEDA1D" w14:textId="77777777" w:rsidTr="099806E9">
        <w:tc>
          <w:tcPr>
            <w:tcW w:w="2268" w:type="dxa"/>
          </w:tcPr>
          <w:p w14:paraId="7BC15875" w14:textId="77777777" w:rsidR="00EE2031" w:rsidRPr="003128ED" w:rsidRDefault="00EE2031" w:rsidP="007A01B4">
            <w:pPr>
              <w:spacing w:before="240" w:after="240"/>
              <w:rPr>
                <w:rFonts w:eastAsia="Arial Unicode MS"/>
                <w:b/>
              </w:rPr>
            </w:pPr>
            <w:r w:rsidRPr="003128ED">
              <w:rPr>
                <w:rFonts w:eastAsia="Arial Unicode MS"/>
                <w:b/>
              </w:rPr>
              <w:t>Data</w:t>
            </w:r>
          </w:p>
        </w:tc>
        <w:tc>
          <w:tcPr>
            <w:tcW w:w="5812" w:type="dxa"/>
          </w:tcPr>
          <w:p w14:paraId="436B692E" w14:textId="706A78F5" w:rsidR="00C62A49" w:rsidRPr="003128ED" w:rsidRDefault="099806E9" w:rsidP="00E0170A">
            <w:pPr>
              <w:spacing w:before="240" w:after="240"/>
              <w:rPr>
                <w:rFonts w:eastAsia="Arial Unicode MS"/>
              </w:rPr>
            </w:pPr>
            <w:r w:rsidRPr="099806E9">
              <w:rPr>
                <w:rFonts w:eastAsia="Arial Unicode MS"/>
              </w:rPr>
              <w:t>2025-0</w:t>
            </w:r>
            <w:r w:rsidR="00F20207">
              <w:rPr>
                <w:rFonts w:eastAsia="Arial Unicode MS"/>
              </w:rPr>
              <w:t>6</w:t>
            </w:r>
            <w:r w:rsidRPr="099806E9">
              <w:rPr>
                <w:rFonts w:eastAsia="Arial Unicode MS"/>
              </w:rPr>
              <w:t>-</w:t>
            </w:r>
            <w:r w:rsidR="00923045">
              <w:rPr>
                <w:rFonts w:eastAsia="Arial Unicode MS"/>
              </w:rPr>
              <w:t>1</w:t>
            </w:r>
            <w:r w:rsidR="00B44DCA">
              <w:rPr>
                <w:rFonts w:eastAsia="Arial Unicode MS"/>
              </w:rPr>
              <w:t>8</w:t>
            </w:r>
          </w:p>
        </w:tc>
      </w:tr>
    </w:tbl>
    <w:p w14:paraId="70F23A30" w14:textId="77777777" w:rsidR="00EE2031" w:rsidRPr="003128ED" w:rsidRDefault="00EE2031">
      <w:pPr>
        <w:rPr>
          <w:rFonts w:eastAsia="Arial Unicode MS"/>
          <w:b/>
        </w:rPr>
      </w:pPr>
    </w:p>
    <w:p w14:paraId="17AF315C" w14:textId="77777777" w:rsidR="00EE2031" w:rsidRPr="003128ED" w:rsidRDefault="00EE2031">
      <w:pPr>
        <w:rPr>
          <w:rFonts w:eastAsia="Arial Unicode MS"/>
          <w:b/>
        </w:rPr>
      </w:pPr>
    </w:p>
    <w:p w14:paraId="37055BE2" w14:textId="77777777" w:rsidR="00EE2031" w:rsidRPr="003128ED" w:rsidRDefault="00EE2031">
      <w:pPr>
        <w:rPr>
          <w:rFonts w:eastAsia="Arial Unicode MS"/>
          <w:b/>
        </w:rPr>
      </w:pPr>
    </w:p>
    <w:p w14:paraId="4B1793FF" w14:textId="77777777" w:rsidR="00AD1514" w:rsidRPr="002507C9" w:rsidRDefault="00AD1514" w:rsidP="00AD1514">
      <w:pPr>
        <w:rPr>
          <w:rFonts w:eastAsia="Arial Unicode MS"/>
          <w:b/>
          <w14:ligatures w14:val="standardContextual"/>
        </w:rPr>
      </w:pPr>
    </w:p>
    <w:p w14:paraId="62957DB1" w14:textId="77777777" w:rsidR="00AD1514" w:rsidRPr="002507C9" w:rsidRDefault="00AD1514" w:rsidP="00AD1514">
      <w:pPr>
        <w:suppressAutoHyphens/>
        <w:jc w:val="center"/>
        <w:textAlignment w:val="baseline"/>
        <w:rPr>
          <w:lang w:eastAsia="it-IT"/>
        </w:rPr>
      </w:pPr>
      <w:r w:rsidRPr="002507C9">
        <w:rPr>
          <w:rFonts w:eastAsia="Arial Unicode MS"/>
          <w:b/>
        </w:rPr>
        <w:t>Avvertenza</w:t>
      </w:r>
    </w:p>
    <w:tbl>
      <w:tblPr>
        <w:tblW w:w="9736" w:type="dxa"/>
        <w:tblCellMar>
          <w:left w:w="10" w:type="dxa"/>
          <w:right w:w="10" w:type="dxa"/>
        </w:tblCellMar>
        <w:tblLook w:val="04A0" w:firstRow="1" w:lastRow="0" w:firstColumn="1" w:lastColumn="0" w:noHBand="0" w:noVBand="1"/>
      </w:tblPr>
      <w:tblGrid>
        <w:gridCol w:w="9736"/>
      </w:tblGrid>
      <w:tr w:rsidR="00AD1514" w:rsidRPr="002507C9" w14:paraId="0D8CDA30" w14:textId="77777777" w:rsidTr="009D5996">
        <w:tc>
          <w:tcPr>
            <w:tcW w:w="9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EA43" w14:textId="77777777" w:rsidR="00AD1514" w:rsidRPr="002507C9" w:rsidRDefault="00AD1514" w:rsidP="009D5996">
            <w:pPr>
              <w:spacing w:after="240"/>
              <w:rPr>
                <w:rFonts w:eastAsia="Arial Unicode MS"/>
                <w:b/>
              </w:rPr>
            </w:pPr>
            <w:r w:rsidRPr="002507C9">
              <w:rPr>
                <w:rFonts w:eastAsia="Arial Unicode MS"/>
                <w:b/>
              </w:rPr>
              <w:t>Il presente documento è un progetto di Prassi di Rifermento (UNI/</w:t>
            </w:r>
            <w:proofErr w:type="spellStart"/>
            <w:r w:rsidRPr="002507C9">
              <w:rPr>
                <w:rFonts w:eastAsia="Arial Unicode MS"/>
                <w:b/>
              </w:rPr>
              <w:t>PdR</w:t>
            </w:r>
            <w:proofErr w:type="spellEnd"/>
            <w:r w:rsidRPr="002507C9">
              <w:rPr>
                <w:rFonts w:eastAsia="Arial Unicode MS"/>
                <w:b/>
              </w:rPr>
              <w:t xml:space="preserve">) sottoposta alla fase di consultazione, da utilizzare solo ed esclusivamente per fini informativi e per la formulazione di commenti. </w:t>
            </w:r>
          </w:p>
          <w:p w14:paraId="5D3EC296" w14:textId="77777777" w:rsidR="00AD1514" w:rsidRPr="002507C9" w:rsidRDefault="00AD1514" w:rsidP="009D5996">
            <w:pPr>
              <w:spacing w:after="240"/>
              <w:rPr>
                <w:rFonts w:eastAsia="Arial Unicode MS"/>
                <w:b/>
              </w:rPr>
            </w:pPr>
            <w:r w:rsidRPr="002507C9">
              <w:rPr>
                <w:rFonts w:eastAsia="Arial Unicode MS"/>
                <w:b/>
              </w:rPr>
              <w:t>Il processo di elaborazione delle Prassi di Riferimento prevede che i progetti vengano sottoposti alla consultazione sul sito web UNI per raccogliere i commenti del mercato: la UNI/</w:t>
            </w:r>
            <w:proofErr w:type="spellStart"/>
            <w:r w:rsidRPr="002507C9">
              <w:rPr>
                <w:rFonts w:eastAsia="Arial Unicode MS"/>
                <w:b/>
              </w:rPr>
              <w:t>PdR</w:t>
            </w:r>
            <w:proofErr w:type="spellEnd"/>
            <w:r w:rsidRPr="002507C9">
              <w:rPr>
                <w:rFonts w:eastAsia="Arial Unicode MS"/>
                <w:b/>
              </w:rPr>
              <w:t xml:space="preserve"> definitiva potrebbe quindi presentare differenze rispetto al documento messo in consultazione. </w:t>
            </w:r>
          </w:p>
          <w:p w14:paraId="4BBBE1D0" w14:textId="3B03812E" w:rsidR="00AD1514" w:rsidRPr="002507C9" w:rsidRDefault="00AD1514" w:rsidP="009D5996">
            <w:pPr>
              <w:spacing w:after="240"/>
              <w:rPr>
                <w:lang w:eastAsia="it-IT"/>
              </w:rPr>
            </w:pPr>
            <w:r w:rsidRPr="00775832">
              <w:rPr>
                <w:rFonts w:eastAsia="Arial Unicode MS"/>
                <w:b/>
              </w:rPr>
              <w:t>Questo documento perde qualsiasi valore al termine della consultazione, cioè il:</w:t>
            </w:r>
            <w:r>
              <w:rPr>
                <w:rFonts w:eastAsia="Arial Unicode MS"/>
                <w:b/>
              </w:rPr>
              <w:t xml:space="preserve"> </w:t>
            </w:r>
            <w:r w:rsidR="00E03F57" w:rsidRPr="00E03F57">
              <w:rPr>
                <w:rFonts w:eastAsia="Arial Unicode MS"/>
                <w:b/>
                <w:highlight w:val="yellow"/>
              </w:rPr>
              <w:t xml:space="preserve">XX </w:t>
            </w:r>
            <w:r w:rsidR="00282453">
              <w:rPr>
                <w:rFonts w:eastAsia="Arial Unicode MS"/>
                <w:b/>
                <w:highlight w:val="yellow"/>
              </w:rPr>
              <w:t>agosto</w:t>
            </w:r>
            <w:r w:rsidR="00C23F80">
              <w:rPr>
                <w:rFonts w:eastAsia="Arial Unicode MS"/>
                <w:b/>
                <w:highlight w:val="yellow"/>
              </w:rPr>
              <w:t xml:space="preserve"> </w:t>
            </w:r>
            <w:r w:rsidRPr="00E03F57">
              <w:rPr>
                <w:rFonts w:eastAsia="Arial Unicode MS"/>
                <w:b/>
                <w:highlight w:val="yellow"/>
              </w:rPr>
              <w:t>2025</w:t>
            </w:r>
            <w:r>
              <w:rPr>
                <w:rFonts w:eastAsia="Arial Unicode MS"/>
                <w:b/>
              </w:rPr>
              <w:t>.</w:t>
            </w:r>
          </w:p>
          <w:p w14:paraId="01D2C2EE" w14:textId="77777777" w:rsidR="00AD1514" w:rsidRPr="002507C9" w:rsidRDefault="00AD1514" w:rsidP="009D5996">
            <w:pPr>
              <w:spacing w:after="240"/>
              <w:rPr>
                <w:rFonts w:eastAsia="Arial Unicode MS"/>
                <w:b/>
              </w:rPr>
            </w:pPr>
            <w:r w:rsidRPr="002507C9">
              <w:rPr>
                <w:rFonts w:eastAsia="Arial Unicode MS"/>
                <w:b/>
              </w:rPr>
              <w:t>UNI non è responsabile delle conseguenze che possono derivare dall'uso improprio del testo dei progetti di Prassi di Riferimento in consultazione.</w:t>
            </w:r>
          </w:p>
        </w:tc>
      </w:tr>
    </w:tbl>
    <w:p w14:paraId="6EB2C7D3" w14:textId="77777777" w:rsidR="00EE2031" w:rsidRPr="003128ED" w:rsidRDefault="00EE2031">
      <w:pPr>
        <w:rPr>
          <w:rFonts w:eastAsia="Arial Unicode MS"/>
          <w:b/>
        </w:rPr>
        <w:sectPr w:rsidR="00EE2031" w:rsidRPr="003128ED" w:rsidSect="00EE2031">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709" w:footer="709" w:gutter="0"/>
          <w:pgNumType w:start="1"/>
          <w:cols w:space="720"/>
          <w:titlePg/>
          <w:docGrid w:linePitch="360"/>
        </w:sectPr>
      </w:pPr>
    </w:p>
    <w:p w14:paraId="5BA8E043" w14:textId="77777777" w:rsidR="00475D3C" w:rsidRPr="003128ED" w:rsidRDefault="00183E70">
      <w:pPr>
        <w:rPr>
          <w:rFonts w:eastAsia="Arial Unicode MS"/>
          <w:b/>
        </w:rPr>
      </w:pPr>
      <w:r w:rsidRPr="003128ED">
        <w:rPr>
          <w:rFonts w:eastAsia="Arial Unicode MS"/>
          <w:b/>
        </w:rPr>
        <w:lastRenderedPageBreak/>
        <w:t>PREMESSA</w:t>
      </w:r>
    </w:p>
    <w:p w14:paraId="5BA246E0" w14:textId="11020FDA" w:rsidR="00EC4251" w:rsidRPr="00EC4251" w:rsidRDefault="0088608C" w:rsidP="00EC4251">
      <w:pPr>
        <w:spacing w:before="240" w:after="240"/>
        <w:rPr>
          <w:rFonts w:eastAsia="Arial Unicode MS"/>
        </w:rPr>
      </w:pPr>
      <w:r w:rsidRPr="003128ED">
        <w:rPr>
          <w:rFonts w:eastAsia="Arial Unicode MS"/>
        </w:rPr>
        <w:t>La presente prassi di riferimento UNI/</w:t>
      </w:r>
      <w:proofErr w:type="spellStart"/>
      <w:r w:rsidRPr="003128ED">
        <w:rPr>
          <w:rFonts w:eastAsia="Arial Unicode MS"/>
        </w:rPr>
        <w:t>PdR</w:t>
      </w:r>
      <w:proofErr w:type="spellEnd"/>
      <w:r w:rsidRPr="003128ED">
        <w:rPr>
          <w:rFonts w:eastAsia="Arial Unicode MS"/>
        </w:rPr>
        <w:t xml:space="preserve"> </w:t>
      </w:r>
      <w:r w:rsidRPr="00AA23B2">
        <w:rPr>
          <w:rFonts w:eastAsia="Arial Unicode MS"/>
          <w:highlight w:val="yellow"/>
        </w:rPr>
        <w:t>xx</w:t>
      </w:r>
      <w:r w:rsidRPr="003128ED">
        <w:rPr>
          <w:rFonts w:eastAsia="Arial Unicode MS"/>
        </w:rPr>
        <w:t>:20</w:t>
      </w:r>
      <w:r w:rsidR="00E0170A" w:rsidRPr="003128ED">
        <w:rPr>
          <w:rFonts w:eastAsia="Arial Unicode MS"/>
        </w:rPr>
        <w:t>2</w:t>
      </w:r>
      <w:r w:rsidR="00C650FF">
        <w:rPr>
          <w:rFonts w:eastAsia="Arial Unicode MS"/>
        </w:rPr>
        <w:t>5</w:t>
      </w:r>
      <w:r w:rsidRPr="003128ED">
        <w:rPr>
          <w:rFonts w:eastAsia="Arial Unicode MS"/>
        </w:rPr>
        <w:t xml:space="preserve"> non è una norma nazionale, ma è un documento pubblicato da UNI, come previsto dal Regolamento UE n.1025/2012, che raccoglie prescrizioni relative a prassi condivise all'interno del seguente soggetto firmatario di un accordo di collaborazione con UNI:</w:t>
      </w:r>
    </w:p>
    <w:p w14:paraId="7F9F1D09" w14:textId="3F5916A5" w:rsidR="00EC4251" w:rsidRPr="00EC4251" w:rsidRDefault="00C91D58" w:rsidP="00EC4251">
      <w:pPr>
        <w:ind w:left="870"/>
        <w:rPr>
          <w:b/>
          <w:bCs/>
          <w:i/>
          <w:iCs/>
        </w:rPr>
      </w:pPr>
      <w:r w:rsidRPr="00C91D58">
        <w:rPr>
          <w:b/>
          <w:bCs/>
          <w:i/>
          <w:iCs/>
        </w:rPr>
        <w:t>ASLA</w:t>
      </w:r>
      <w:r w:rsidR="009313E0">
        <w:rPr>
          <w:b/>
          <w:bCs/>
          <w:i/>
          <w:iCs/>
        </w:rPr>
        <w:t xml:space="preserve"> </w:t>
      </w:r>
      <w:r w:rsidRPr="00C91D58">
        <w:rPr>
          <w:b/>
          <w:bCs/>
          <w:i/>
          <w:iCs/>
        </w:rPr>
        <w:t>-</w:t>
      </w:r>
      <w:r w:rsidR="009313E0">
        <w:rPr>
          <w:b/>
          <w:bCs/>
          <w:i/>
          <w:iCs/>
        </w:rPr>
        <w:t xml:space="preserve"> </w:t>
      </w:r>
      <w:r w:rsidRPr="00C91D58">
        <w:rPr>
          <w:b/>
          <w:bCs/>
          <w:i/>
          <w:iCs/>
        </w:rPr>
        <w:t>Associazione Studi Legali Associati</w:t>
      </w:r>
    </w:p>
    <w:p w14:paraId="1629DEF4" w14:textId="6E901DFA" w:rsidR="00EC4251" w:rsidRPr="00EC4251" w:rsidRDefault="00EC4251" w:rsidP="00EC4251">
      <w:pPr>
        <w:ind w:firstLine="794"/>
        <w:rPr>
          <w:i/>
          <w:iCs/>
        </w:rPr>
      </w:pPr>
      <w:r w:rsidRPr="00EC4251">
        <w:rPr>
          <w:i/>
          <w:iCs/>
        </w:rPr>
        <w:t xml:space="preserve"> Via </w:t>
      </w:r>
      <w:proofErr w:type="spellStart"/>
      <w:r w:rsidR="00C91D58">
        <w:rPr>
          <w:i/>
          <w:iCs/>
        </w:rPr>
        <w:t>Ferguglia</w:t>
      </w:r>
      <w:proofErr w:type="spellEnd"/>
      <w:r w:rsidRPr="00EC4251">
        <w:rPr>
          <w:i/>
          <w:iCs/>
        </w:rPr>
        <w:t xml:space="preserve">, </w:t>
      </w:r>
      <w:r w:rsidR="00C91D58">
        <w:rPr>
          <w:i/>
          <w:iCs/>
        </w:rPr>
        <w:t>1</w:t>
      </w:r>
    </w:p>
    <w:p w14:paraId="5935A14A" w14:textId="1042BEAF" w:rsidR="00EC4251" w:rsidRDefault="0078214D" w:rsidP="00EC4251">
      <w:pPr>
        <w:ind w:firstLine="794"/>
        <w:rPr>
          <w:i/>
          <w:iCs/>
        </w:rPr>
      </w:pPr>
      <w:r w:rsidRPr="0078214D">
        <w:rPr>
          <w:i/>
          <w:iCs/>
        </w:rPr>
        <w:t>20122</w:t>
      </w:r>
      <w:r w:rsidR="00EC4251" w:rsidRPr="00EC4251">
        <w:rPr>
          <w:i/>
          <w:iCs/>
        </w:rPr>
        <w:t xml:space="preserve"> </w:t>
      </w:r>
      <w:r w:rsidR="00C91D58">
        <w:rPr>
          <w:i/>
          <w:iCs/>
        </w:rPr>
        <w:t>Milano</w:t>
      </w:r>
    </w:p>
    <w:p w14:paraId="2EC9FE13" w14:textId="77777777" w:rsidR="00EC4251" w:rsidRDefault="00EC4251" w:rsidP="00EC4251">
      <w:pPr>
        <w:ind w:firstLine="794"/>
        <w:rPr>
          <w:i/>
          <w:iCs/>
        </w:rPr>
      </w:pPr>
    </w:p>
    <w:p w14:paraId="27FC2C6C" w14:textId="4E7CF53B" w:rsidR="00EC4251" w:rsidRPr="00EC4251" w:rsidRDefault="00C949AE" w:rsidP="00EC4251">
      <w:pPr>
        <w:ind w:left="870"/>
        <w:rPr>
          <w:b/>
          <w:bCs/>
          <w:i/>
          <w:iCs/>
        </w:rPr>
      </w:pPr>
      <w:r w:rsidRPr="00C949AE">
        <w:rPr>
          <w:b/>
          <w:bCs/>
          <w:i/>
          <w:iCs/>
        </w:rPr>
        <w:t>CONFAPID - Gruppo nazionale Donne Imprenditrici di Confapi</w:t>
      </w:r>
    </w:p>
    <w:p w14:paraId="1040E349" w14:textId="38BCDEDB" w:rsidR="00EC4251" w:rsidRPr="00EC4251" w:rsidRDefault="00EC4251" w:rsidP="00EC4251">
      <w:pPr>
        <w:ind w:firstLine="794"/>
        <w:rPr>
          <w:i/>
          <w:iCs/>
        </w:rPr>
      </w:pPr>
      <w:r w:rsidRPr="00EC4251">
        <w:rPr>
          <w:i/>
          <w:iCs/>
        </w:rPr>
        <w:t xml:space="preserve"> </w:t>
      </w:r>
      <w:r w:rsidR="0061667E" w:rsidRPr="0061667E">
        <w:rPr>
          <w:i/>
          <w:iCs/>
        </w:rPr>
        <w:t>Via Della Colonna Antonina, 52</w:t>
      </w:r>
    </w:p>
    <w:p w14:paraId="245C15E7" w14:textId="5B2063AF" w:rsidR="00EC4251" w:rsidRDefault="00EC4251" w:rsidP="00EC4251">
      <w:pPr>
        <w:ind w:firstLine="794"/>
        <w:rPr>
          <w:i/>
          <w:iCs/>
        </w:rPr>
      </w:pPr>
      <w:r w:rsidRPr="00EC4251">
        <w:rPr>
          <w:i/>
          <w:iCs/>
        </w:rPr>
        <w:t>001</w:t>
      </w:r>
      <w:r w:rsidR="0061667E">
        <w:rPr>
          <w:i/>
          <w:iCs/>
        </w:rPr>
        <w:t>86</w:t>
      </w:r>
      <w:r w:rsidRPr="00EC4251">
        <w:rPr>
          <w:i/>
          <w:iCs/>
        </w:rPr>
        <w:t xml:space="preserve"> Roma</w:t>
      </w:r>
    </w:p>
    <w:p w14:paraId="1F932ECC" w14:textId="77777777" w:rsidR="00EC4251" w:rsidRDefault="00EC4251" w:rsidP="00EC4251">
      <w:pPr>
        <w:ind w:firstLine="794"/>
        <w:rPr>
          <w:i/>
          <w:iCs/>
        </w:rPr>
      </w:pPr>
    </w:p>
    <w:p w14:paraId="0718F311" w14:textId="3655693E" w:rsidR="00EC4251" w:rsidRPr="00EC4251" w:rsidRDefault="00592A16" w:rsidP="00EC4251">
      <w:pPr>
        <w:ind w:left="870"/>
        <w:rPr>
          <w:b/>
          <w:bCs/>
          <w:i/>
          <w:iCs/>
        </w:rPr>
      </w:pPr>
      <w:r w:rsidRPr="00592A16">
        <w:rPr>
          <w:b/>
          <w:bCs/>
          <w:i/>
          <w:iCs/>
        </w:rPr>
        <w:t>MANAGERITALIA</w:t>
      </w:r>
    </w:p>
    <w:p w14:paraId="633185AD" w14:textId="2C622751" w:rsidR="00EC4251" w:rsidRPr="00EC4251" w:rsidRDefault="00EC4251" w:rsidP="00EC4251">
      <w:pPr>
        <w:ind w:firstLine="794"/>
        <w:rPr>
          <w:i/>
          <w:iCs/>
        </w:rPr>
      </w:pPr>
      <w:r w:rsidRPr="00EC4251">
        <w:rPr>
          <w:i/>
          <w:iCs/>
        </w:rPr>
        <w:t xml:space="preserve"> </w:t>
      </w:r>
      <w:r w:rsidR="005E31FE" w:rsidRPr="005E31FE">
        <w:rPr>
          <w:i/>
          <w:iCs/>
        </w:rPr>
        <w:t>Via Orazio n. 31</w:t>
      </w:r>
    </w:p>
    <w:p w14:paraId="7DE22805" w14:textId="6A233C9E" w:rsidR="00EC4251" w:rsidRPr="003128ED" w:rsidRDefault="00EC4251" w:rsidP="00EC4251">
      <w:pPr>
        <w:ind w:firstLine="794"/>
        <w:rPr>
          <w:i/>
          <w:iCs/>
        </w:rPr>
      </w:pPr>
      <w:r w:rsidRPr="00EC4251">
        <w:rPr>
          <w:i/>
          <w:iCs/>
        </w:rPr>
        <w:t>0019</w:t>
      </w:r>
      <w:r w:rsidR="005E31FE">
        <w:rPr>
          <w:i/>
          <w:iCs/>
        </w:rPr>
        <w:t>3</w:t>
      </w:r>
      <w:r w:rsidRPr="00EC4251">
        <w:rPr>
          <w:i/>
          <w:iCs/>
        </w:rPr>
        <w:t xml:space="preserve"> Roma</w:t>
      </w:r>
    </w:p>
    <w:p w14:paraId="2F2DB22B" w14:textId="77777777" w:rsidR="00EC4251" w:rsidRDefault="00EC4251" w:rsidP="00EC4251">
      <w:pPr>
        <w:ind w:firstLine="794"/>
        <w:rPr>
          <w:i/>
          <w:iCs/>
        </w:rPr>
      </w:pPr>
    </w:p>
    <w:p w14:paraId="66F4D678" w14:textId="0B3C2B67" w:rsidR="00EC4251" w:rsidRPr="00EC4251" w:rsidRDefault="006335BF" w:rsidP="00EC4251">
      <w:pPr>
        <w:ind w:left="870"/>
        <w:rPr>
          <w:b/>
          <w:bCs/>
          <w:i/>
          <w:iCs/>
        </w:rPr>
      </w:pPr>
      <w:r w:rsidRPr="006335BF">
        <w:rPr>
          <w:b/>
          <w:bCs/>
          <w:i/>
          <w:iCs/>
        </w:rPr>
        <w:t>VALORE D</w:t>
      </w:r>
    </w:p>
    <w:p w14:paraId="59D4B380" w14:textId="035A4152" w:rsidR="00EC4251" w:rsidRPr="00EC4251" w:rsidRDefault="00EC4251" w:rsidP="00EC4251">
      <w:pPr>
        <w:ind w:firstLine="794"/>
        <w:rPr>
          <w:i/>
          <w:iCs/>
        </w:rPr>
      </w:pPr>
      <w:r w:rsidRPr="00EC4251">
        <w:rPr>
          <w:i/>
          <w:iCs/>
        </w:rPr>
        <w:t xml:space="preserve"> </w:t>
      </w:r>
      <w:r w:rsidR="00D262B1" w:rsidRPr="00D262B1">
        <w:rPr>
          <w:i/>
          <w:iCs/>
        </w:rPr>
        <w:t>Via Edmondo de Amicis, 19</w:t>
      </w:r>
    </w:p>
    <w:p w14:paraId="6541CA56" w14:textId="7F4CD552" w:rsidR="00EC4251" w:rsidRPr="003128ED" w:rsidRDefault="006E0761" w:rsidP="00D262B1">
      <w:pPr>
        <w:ind w:firstLine="794"/>
        <w:rPr>
          <w:i/>
          <w:iCs/>
        </w:rPr>
      </w:pPr>
      <w:r w:rsidRPr="006E0761">
        <w:rPr>
          <w:i/>
          <w:iCs/>
        </w:rPr>
        <w:t>20123</w:t>
      </w:r>
      <w:r w:rsidR="00EC4251" w:rsidRPr="00EC4251">
        <w:rPr>
          <w:i/>
          <w:iCs/>
        </w:rPr>
        <w:t xml:space="preserve"> </w:t>
      </w:r>
      <w:r w:rsidR="006335BF">
        <w:rPr>
          <w:i/>
          <w:iCs/>
        </w:rPr>
        <w:t>Milano</w:t>
      </w:r>
    </w:p>
    <w:p w14:paraId="025F7FE1" w14:textId="41D701B2" w:rsidR="0088608C" w:rsidRPr="003128ED" w:rsidRDefault="0088608C" w:rsidP="0088608C">
      <w:pPr>
        <w:spacing w:before="240" w:after="240"/>
        <w:rPr>
          <w:rFonts w:eastAsia="Arial Unicode MS"/>
        </w:rPr>
      </w:pPr>
      <w:r w:rsidRPr="003128ED">
        <w:rPr>
          <w:rFonts w:eastAsia="Arial Unicode MS"/>
        </w:rPr>
        <w:t>La presente prassi di riferimento è stata elaborata dal Tavolo “</w:t>
      </w:r>
      <w:r w:rsidR="00FC4BB5">
        <w:rPr>
          <w:rFonts w:eastAsia="Arial Unicode MS"/>
        </w:rPr>
        <w:t xml:space="preserve">VIG - </w:t>
      </w:r>
      <w:r w:rsidR="00B86832">
        <w:rPr>
          <w:rFonts w:eastAsia="Arial Unicode MS"/>
        </w:rPr>
        <w:t>Valutazione Impatto di Genere</w:t>
      </w:r>
      <w:r w:rsidR="007155C8" w:rsidRPr="003128ED">
        <w:rPr>
          <w:rFonts w:eastAsia="Arial Unicode MS"/>
        </w:rPr>
        <w:t>”</w:t>
      </w:r>
      <w:r w:rsidRPr="003128ED">
        <w:rPr>
          <w:rFonts w:eastAsia="Arial Unicode MS"/>
        </w:rPr>
        <w:t xml:space="preserve"> condotto da UNI, costituito dai seguenti esperti:</w:t>
      </w:r>
    </w:p>
    <w:p w14:paraId="24B99E2D" w14:textId="77777777" w:rsidR="0088608C" w:rsidRPr="003128ED" w:rsidRDefault="00E0170A" w:rsidP="0088608C">
      <w:pPr>
        <w:spacing w:line="360" w:lineRule="auto"/>
        <w:ind w:firstLine="794"/>
        <w:jc w:val="left"/>
        <w:rPr>
          <w:i/>
          <w:iCs/>
        </w:rPr>
      </w:pPr>
      <w:r w:rsidRPr="003128ED">
        <w:rPr>
          <w:i/>
          <w:iCs/>
        </w:rPr>
        <w:t xml:space="preserve">Nome Cognome 1 </w:t>
      </w:r>
      <w:r w:rsidR="0088608C" w:rsidRPr="003128ED">
        <w:rPr>
          <w:i/>
          <w:iCs/>
        </w:rPr>
        <w:t xml:space="preserve">– Project Leader (organizzazione </w:t>
      </w:r>
      <w:proofErr w:type="spellStart"/>
      <w:r w:rsidR="0088608C" w:rsidRPr="003128ED">
        <w:rPr>
          <w:i/>
          <w:iCs/>
        </w:rPr>
        <w:t>xyz</w:t>
      </w:r>
      <w:proofErr w:type="spellEnd"/>
      <w:r w:rsidR="0088608C" w:rsidRPr="003128ED">
        <w:rPr>
          <w:i/>
          <w:iCs/>
        </w:rPr>
        <w:t>)</w:t>
      </w:r>
    </w:p>
    <w:p w14:paraId="7FF5EA1B" w14:textId="77777777" w:rsidR="0088608C" w:rsidRPr="003128ED" w:rsidRDefault="0088608C" w:rsidP="0088608C">
      <w:pPr>
        <w:spacing w:line="360" w:lineRule="auto"/>
        <w:ind w:firstLine="794"/>
        <w:jc w:val="left"/>
        <w:rPr>
          <w:i/>
          <w:iCs/>
        </w:rPr>
      </w:pPr>
      <w:r w:rsidRPr="003128ED">
        <w:rPr>
          <w:i/>
          <w:iCs/>
        </w:rPr>
        <w:t xml:space="preserve">Nome Cognome 2 (organizzazione </w:t>
      </w:r>
      <w:proofErr w:type="spellStart"/>
      <w:r w:rsidRPr="003128ED">
        <w:rPr>
          <w:i/>
          <w:iCs/>
        </w:rPr>
        <w:t>yz</w:t>
      </w:r>
      <w:proofErr w:type="spellEnd"/>
      <w:r w:rsidRPr="003128ED">
        <w:rPr>
          <w:i/>
          <w:iCs/>
        </w:rPr>
        <w:t>)</w:t>
      </w:r>
    </w:p>
    <w:p w14:paraId="182302C6" w14:textId="77777777" w:rsidR="0088608C" w:rsidRPr="003128ED" w:rsidRDefault="0088608C" w:rsidP="0088608C">
      <w:pPr>
        <w:spacing w:line="360" w:lineRule="auto"/>
        <w:ind w:firstLine="794"/>
        <w:jc w:val="left"/>
        <w:rPr>
          <w:i/>
          <w:iCs/>
        </w:rPr>
      </w:pPr>
      <w:r w:rsidRPr="003128ED">
        <w:rPr>
          <w:i/>
          <w:iCs/>
        </w:rPr>
        <w:t xml:space="preserve">Nome Cognome 3 (organizzazione </w:t>
      </w:r>
      <w:proofErr w:type="spellStart"/>
      <w:r w:rsidRPr="003128ED">
        <w:rPr>
          <w:i/>
          <w:iCs/>
        </w:rPr>
        <w:t>xyz</w:t>
      </w:r>
      <w:proofErr w:type="spellEnd"/>
      <w:r w:rsidRPr="003128ED">
        <w:rPr>
          <w:i/>
          <w:iCs/>
        </w:rPr>
        <w:t>)</w:t>
      </w:r>
    </w:p>
    <w:p w14:paraId="122E2E3D" w14:textId="77777777" w:rsidR="0088608C" w:rsidRPr="003128ED" w:rsidRDefault="0088608C" w:rsidP="0088608C">
      <w:pPr>
        <w:spacing w:line="360" w:lineRule="auto"/>
        <w:ind w:firstLine="794"/>
        <w:jc w:val="left"/>
        <w:rPr>
          <w:i/>
          <w:iCs/>
        </w:rPr>
      </w:pPr>
      <w:r w:rsidRPr="003128ED">
        <w:rPr>
          <w:i/>
          <w:iCs/>
        </w:rPr>
        <w:t>Nome Cognome 4 (organizzazione y)</w:t>
      </w:r>
    </w:p>
    <w:p w14:paraId="10B09881" w14:textId="77777777" w:rsidR="0088608C" w:rsidRPr="003128ED" w:rsidRDefault="0088608C" w:rsidP="0088608C">
      <w:pPr>
        <w:spacing w:line="360" w:lineRule="auto"/>
        <w:ind w:firstLine="794"/>
        <w:jc w:val="left"/>
        <w:rPr>
          <w:i/>
          <w:iCs/>
        </w:rPr>
      </w:pPr>
      <w:r w:rsidRPr="003128ED">
        <w:rPr>
          <w:i/>
          <w:iCs/>
        </w:rPr>
        <w:t>Nom</w:t>
      </w:r>
      <w:r w:rsidR="00E0170A" w:rsidRPr="003128ED">
        <w:rPr>
          <w:i/>
          <w:iCs/>
        </w:rPr>
        <w:t xml:space="preserve">e Cognome 5 (organizzazione </w:t>
      </w:r>
      <w:proofErr w:type="spellStart"/>
      <w:r w:rsidR="00E0170A" w:rsidRPr="003128ED">
        <w:rPr>
          <w:i/>
          <w:iCs/>
        </w:rPr>
        <w:t>xz</w:t>
      </w:r>
      <w:proofErr w:type="spellEnd"/>
      <w:r w:rsidR="00E0170A" w:rsidRPr="003128ED">
        <w:rPr>
          <w:i/>
          <w:iCs/>
        </w:rPr>
        <w:t>)</w:t>
      </w:r>
    </w:p>
    <w:p w14:paraId="61D74522" w14:textId="77777777" w:rsidR="0088608C" w:rsidRPr="003128ED" w:rsidRDefault="0088608C" w:rsidP="0088608C">
      <w:pPr>
        <w:spacing w:line="360" w:lineRule="auto"/>
        <w:ind w:firstLine="794"/>
        <w:jc w:val="left"/>
        <w:rPr>
          <w:i/>
          <w:iCs/>
        </w:rPr>
      </w:pPr>
      <w:r w:rsidRPr="003128ED">
        <w:rPr>
          <w:i/>
          <w:iCs/>
        </w:rPr>
        <w:t>Nome Cognome 6 (organizzazione z)</w:t>
      </w:r>
    </w:p>
    <w:p w14:paraId="7095238F" w14:textId="00B87D14" w:rsidR="0088608C" w:rsidRPr="003128ED" w:rsidRDefault="099806E9" w:rsidP="0088608C">
      <w:pPr>
        <w:spacing w:before="240" w:after="240"/>
        <w:rPr>
          <w:rFonts w:eastAsia="Arial Unicode MS"/>
        </w:rPr>
      </w:pPr>
      <w:r w:rsidRPr="099806E9">
        <w:rPr>
          <w:rFonts w:eastAsia="Arial Unicode MS"/>
        </w:rPr>
        <w:t xml:space="preserve">La presente prassi di riferimento è stata ratificata dal Presidente dell’UNI il </w:t>
      </w:r>
      <w:r w:rsidRPr="00FC4BB5">
        <w:rPr>
          <w:rFonts w:eastAsia="Arial Unicode MS"/>
          <w:highlight w:val="yellow"/>
        </w:rPr>
        <w:t xml:space="preserve">xx </w:t>
      </w:r>
      <w:proofErr w:type="spellStart"/>
      <w:r w:rsidRPr="00FC4BB5">
        <w:rPr>
          <w:rFonts w:eastAsia="Arial Unicode MS"/>
          <w:highlight w:val="yellow"/>
        </w:rPr>
        <w:t>xxxx</w:t>
      </w:r>
      <w:proofErr w:type="spellEnd"/>
      <w:r w:rsidRPr="00FC4BB5">
        <w:rPr>
          <w:rFonts w:eastAsia="Arial Unicode MS"/>
          <w:highlight w:val="yellow"/>
        </w:rPr>
        <w:t xml:space="preserve"> 2025</w:t>
      </w:r>
      <w:r w:rsidRPr="099806E9">
        <w:rPr>
          <w:rFonts w:eastAsia="Arial Unicode MS"/>
        </w:rPr>
        <w:t>.</w:t>
      </w:r>
    </w:p>
    <w:p w14:paraId="24820AA1" w14:textId="77777777" w:rsidR="0088608C" w:rsidRPr="003128ED" w:rsidRDefault="0088608C" w:rsidP="0088608C">
      <w:r w:rsidRPr="003128ED">
        <w:t>Le prassi di riferimento, adottate esclusivamente in ambito nazionale, rientrano fra i “prodotti della normazione europea”, come previsti dal Regolamento UE n.1025/2012, e sono documenti che introducono prescrizioni tecniche, elaborati sulla base di un rapido processo ristretto ai soli autori, sotto la conduzione operativa di UNI.</w:t>
      </w:r>
    </w:p>
    <w:p w14:paraId="2BDE88B3" w14:textId="77777777" w:rsidR="0088608C" w:rsidRPr="003128ED" w:rsidRDefault="0088608C" w:rsidP="0088608C">
      <w:r w:rsidRPr="003128ED">
        <w:t>Le prassi di riferimento sono disponibili per un periodo non superiore a 5 anni, tempo massimo dalla loro pubblicazione entro il quale possono essere trasformate in un documento normativo (UNI, UNI/TS, UNI/TR) oppure devono essere ritirate.</w:t>
      </w:r>
    </w:p>
    <w:p w14:paraId="132EF613" w14:textId="77777777" w:rsidR="0088608C" w:rsidRPr="003128ED" w:rsidRDefault="0088608C" w:rsidP="0088608C">
      <w:pPr>
        <w:spacing w:before="240" w:after="240"/>
      </w:pPr>
      <w:r w:rsidRPr="003128ED">
        <w:t xml:space="preserve">Chiunque ritenesse, a seguito dell’applicazione della presente prassi di riferimento, di poter fornire suggerimenti per un suo miglioramento è pregato di inviare i propri contributi all’UNI, Ente Italiano di </w:t>
      </w:r>
      <w:r w:rsidR="005E5711" w:rsidRPr="003128ED">
        <w:t>Norma</w:t>
      </w:r>
      <w:r w:rsidRPr="003128ED">
        <w:t>zione, che li terrà in considerazione.</w:t>
      </w:r>
    </w:p>
    <w:p w14:paraId="0BA2EF7A" w14:textId="77777777" w:rsidR="00D406A0" w:rsidRPr="003128ED" w:rsidRDefault="0088608C" w:rsidP="0088608C">
      <w:pPr>
        <w:spacing w:before="240" w:after="240"/>
        <w:rPr>
          <w:rFonts w:eastAsia="Arial Unicode MS"/>
          <w:b/>
        </w:rPr>
      </w:pPr>
      <w:r w:rsidRPr="003128ED">
        <w:rPr>
          <w:rFonts w:eastAsia="Arial Unicode MS"/>
          <w:b/>
        </w:rPr>
        <w:br w:type="page"/>
      </w:r>
      <w:bookmarkStart w:id="0" w:name="OLE_LINK16"/>
      <w:bookmarkStart w:id="1" w:name="OLE_LINK17"/>
      <w:r w:rsidR="00D406A0" w:rsidRPr="003128ED">
        <w:rPr>
          <w:rFonts w:eastAsia="Arial Unicode MS"/>
          <w:b/>
        </w:rPr>
        <w:lastRenderedPageBreak/>
        <w:t>SOMMARIO</w:t>
      </w:r>
    </w:p>
    <w:p w14:paraId="02BABF39" w14:textId="0F15E3F7" w:rsidR="009313E0" w:rsidRDefault="009042FA">
      <w:pPr>
        <w:pStyle w:val="Sommario1"/>
        <w:rPr>
          <w:rFonts w:asciiTheme="minorHAnsi" w:eastAsiaTheme="minorEastAsia" w:hAnsiTheme="minorHAnsi" w:cstheme="minorBidi"/>
          <w:b w:val="0"/>
          <w:bCs w:val="0"/>
          <w:noProof/>
          <w:kern w:val="2"/>
          <w:sz w:val="24"/>
          <w:szCs w:val="24"/>
          <w:lang w:eastAsia="it-IT"/>
          <w14:ligatures w14:val="standardContextual"/>
        </w:rPr>
      </w:pPr>
      <w:r w:rsidRPr="003128ED">
        <w:rPr>
          <w:rFonts w:eastAsia="Arial Unicode MS" w:cs="Arial"/>
          <w:sz w:val="22"/>
          <w:szCs w:val="22"/>
        </w:rPr>
        <w:fldChar w:fldCharType="begin"/>
      </w:r>
      <w:r w:rsidR="007C6083" w:rsidRPr="003128ED">
        <w:rPr>
          <w:rFonts w:eastAsia="Arial Unicode MS" w:cs="Arial"/>
          <w:sz w:val="22"/>
          <w:szCs w:val="22"/>
        </w:rPr>
        <w:instrText xml:space="preserve"> TOC \o "1-3" \h \z \u </w:instrText>
      </w:r>
      <w:r w:rsidRPr="003128ED">
        <w:rPr>
          <w:rFonts w:eastAsia="Arial Unicode MS" w:cs="Arial"/>
          <w:sz w:val="22"/>
          <w:szCs w:val="22"/>
        </w:rPr>
        <w:fldChar w:fldCharType="separate"/>
      </w:r>
      <w:hyperlink w:anchor="_Toc201141698" w:history="1">
        <w:r w:rsidR="009313E0" w:rsidRPr="00F05559">
          <w:rPr>
            <w:rStyle w:val="Collegamentoipertestuale"/>
            <w:rFonts w:eastAsia="Arial Unicode MS" w:cs="Arial"/>
            <w:noProof/>
          </w:rPr>
          <w:t>INTRODUZIONE</w:t>
        </w:r>
        <w:r w:rsidR="009313E0">
          <w:rPr>
            <w:noProof/>
            <w:webHidden/>
          </w:rPr>
          <w:tab/>
        </w:r>
        <w:r w:rsidR="009313E0">
          <w:rPr>
            <w:noProof/>
            <w:webHidden/>
          </w:rPr>
          <w:fldChar w:fldCharType="begin"/>
        </w:r>
        <w:r w:rsidR="009313E0">
          <w:rPr>
            <w:noProof/>
            <w:webHidden/>
          </w:rPr>
          <w:instrText xml:space="preserve"> PAGEREF _Toc201141698 \h </w:instrText>
        </w:r>
        <w:r w:rsidR="009313E0">
          <w:rPr>
            <w:noProof/>
            <w:webHidden/>
          </w:rPr>
        </w:r>
        <w:r w:rsidR="009313E0">
          <w:rPr>
            <w:noProof/>
            <w:webHidden/>
          </w:rPr>
          <w:fldChar w:fldCharType="separate"/>
        </w:r>
        <w:r w:rsidR="009313E0">
          <w:rPr>
            <w:noProof/>
            <w:webHidden/>
          </w:rPr>
          <w:t>3</w:t>
        </w:r>
        <w:r w:rsidR="009313E0">
          <w:rPr>
            <w:noProof/>
            <w:webHidden/>
          </w:rPr>
          <w:fldChar w:fldCharType="end"/>
        </w:r>
      </w:hyperlink>
    </w:p>
    <w:p w14:paraId="51469678" w14:textId="3E1C9602" w:rsidR="009313E0" w:rsidRDefault="009313E0">
      <w:pPr>
        <w:pStyle w:val="Sommario1"/>
        <w:tabs>
          <w:tab w:val="left" w:pos="660"/>
        </w:tabs>
        <w:rPr>
          <w:rFonts w:asciiTheme="minorHAnsi" w:eastAsiaTheme="minorEastAsia" w:hAnsiTheme="minorHAnsi" w:cstheme="minorBidi"/>
          <w:b w:val="0"/>
          <w:bCs w:val="0"/>
          <w:noProof/>
          <w:kern w:val="2"/>
          <w:sz w:val="24"/>
          <w:szCs w:val="24"/>
          <w:lang w:eastAsia="it-IT"/>
          <w14:ligatures w14:val="standardContextual"/>
        </w:rPr>
      </w:pPr>
      <w:hyperlink w:anchor="_Toc201141699" w:history="1">
        <w:r w:rsidRPr="00F05559">
          <w:rPr>
            <w:rStyle w:val="Collegamentoipertestuale"/>
            <w:rFonts w:eastAsia="Arial Unicode MS" w:cs="Arial"/>
            <w:noProof/>
          </w:rPr>
          <w:t>1</w:t>
        </w:r>
        <w:r>
          <w:rPr>
            <w:rFonts w:asciiTheme="minorHAnsi" w:eastAsiaTheme="minorEastAsia" w:hAnsiTheme="minorHAnsi" w:cstheme="minorBidi"/>
            <w:b w:val="0"/>
            <w:bCs w:val="0"/>
            <w:noProof/>
            <w:kern w:val="2"/>
            <w:sz w:val="24"/>
            <w:szCs w:val="24"/>
            <w:lang w:eastAsia="it-IT"/>
            <w14:ligatures w14:val="standardContextual"/>
          </w:rPr>
          <w:tab/>
        </w:r>
        <w:r w:rsidRPr="00F05559">
          <w:rPr>
            <w:rStyle w:val="Collegamentoipertestuale"/>
            <w:rFonts w:eastAsia="Arial Unicode MS" w:cs="Arial"/>
            <w:noProof/>
          </w:rPr>
          <w:t>SCOPO E CAMPO DI APPLICAZIONE</w:t>
        </w:r>
        <w:r>
          <w:rPr>
            <w:noProof/>
            <w:webHidden/>
          </w:rPr>
          <w:tab/>
        </w:r>
        <w:r>
          <w:rPr>
            <w:noProof/>
            <w:webHidden/>
          </w:rPr>
          <w:fldChar w:fldCharType="begin"/>
        </w:r>
        <w:r>
          <w:rPr>
            <w:noProof/>
            <w:webHidden/>
          </w:rPr>
          <w:instrText xml:space="preserve"> PAGEREF _Toc201141699 \h </w:instrText>
        </w:r>
        <w:r>
          <w:rPr>
            <w:noProof/>
            <w:webHidden/>
          </w:rPr>
        </w:r>
        <w:r>
          <w:rPr>
            <w:noProof/>
            <w:webHidden/>
          </w:rPr>
          <w:fldChar w:fldCharType="separate"/>
        </w:r>
        <w:r>
          <w:rPr>
            <w:noProof/>
            <w:webHidden/>
          </w:rPr>
          <w:t>8</w:t>
        </w:r>
        <w:r>
          <w:rPr>
            <w:noProof/>
            <w:webHidden/>
          </w:rPr>
          <w:fldChar w:fldCharType="end"/>
        </w:r>
      </w:hyperlink>
    </w:p>
    <w:p w14:paraId="1C074C3F" w14:textId="2BA62162" w:rsidR="009313E0" w:rsidRDefault="009313E0">
      <w:pPr>
        <w:pStyle w:val="Sommario1"/>
        <w:tabs>
          <w:tab w:val="left" w:pos="660"/>
        </w:tabs>
        <w:rPr>
          <w:rFonts w:asciiTheme="minorHAnsi" w:eastAsiaTheme="minorEastAsia" w:hAnsiTheme="minorHAnsi" w:cstheme="minorBidi"/>
          <w:b w:val="0"/>
          <w:bCs w:val="0"/>
          <w:noProof/>
          <w:kern w:val="2"/>
          <w:sz w:val="24"/>
          <w:szCs w:val="24"/>
          <w:lang w:eastAsia="it-IT"/>
          <w14:ligatures w14:val="standardContextual"/>
        </w:rPr>
      </w:pPr>
      <w:hyperlink w:anchor="_Toc201141700" w:history="1">
        <w:r w:rsidRPr="00F05559">
          <w:rPr>
            <w:rStyle w:val="Collegamentoipertestuale"/>
            <w:rFonts w:eastAsia="Arial Unicode MS" w:cs="Arial"/>
            <w:noProof/>
          </w:rPr>
          <w:t>2</w:t>
        </w:r>
        <w:r>
          <w:rPr>
            <w:rFonts w:asciiTheme="minorHAnsi" w:eastAsiaTheme="minorEastAsia" w:hAnsiTheme="minorHAnsi" w:cstheme="minorBidi"/>
            <w:b w:val="0"/>
            <w:bCs w:val="0"/>
            <w:noProof/>
            <w:kern w:val="2"/>
            <w:sz w:val="24"/>
            <w:szCs w:val="24"/>
            <w:lang w:eastAsia="it-IT"/>
            <w14:ligatures w14:val="standardContextual"/>
          </w:rPr>
          <w:tab/>
        </w:r>
        <w:r w:rsidRPr="00F05559">
          <w:rPr>
            <w:rStyle w:val="Collegamentoipertestuale"/>
            <w:rFonts w:eastAsia="Arial Unicode MS" w:cs="Arial"/>
            <w:noProof/>
          </w:rPr>
          <w:t>RIFERIMENTI NORMATIVI E LEGISLATIVI</w:t>
        </w:r>
        <w:r>
          <w:rPr>
            <w:noProof/>
            <w:webHidden/>
          </w:rPr>
          <w:tab/>
        </w:r>
        <w:r>
          <w:rPr>
            <w:noProof/>
            <w:webHidden/>
          </w:rPr>
          <w:fldChar w:fldCharType="begin"/>
        </w:r>
        <w:r>
          <w:rPr>
            <w:noProof/>
            <w:webHidden/>
          </w:rPr>
          <w:instrText xml:space="preserve"> PAGEREF _Toc201141700 \h </w:instrText>
        </w:r>
        <w:r>
          <w:rPr>
            <w:noProof/>
            <w:webHidden/>
          </w:rPr>
        </w:r>
        <w:r>
          <w:rPr>
            <w:noProof/>
            <w:webHidden/>
          </w:rPr>
          <w:fldChar w:fldCharType="separate"/>
        </w:r>
        <w:r>
          <w:rPr>
            <w:noProof/>
            <w:webHidden/>
          </w:rPr>
          <w:t>8</w:t>
        </w:r>
        <w:r>
          <w:rPr>
            <w:noProof/>
            <w:webHidden/>
          </w:rPr>
          <w:fldChar w:fldCharType="end"/>
        </w:r>
      </w:hyperlink>
    </w:p>
    <w:p w14:paraId="5F04BE6A" w14:textId="146138D0" w:rsidR="009313E0" w:rsidRDefault="009313E0">
      <w:pPr>
        <w:pStyle w:val="Sommario1"/>
        <w:tabs>
          <w:tab w:val="left" w:pos="660"/>
        </w:tabs>
        <w:rPr>
          <w:rFonts w:asciiTheme="minorHAnsi" w:eastAsiaTheme="minorEastAsia" w:hAnsiTheme="minorHAnsi" w:cstheme="minorBidi"/>
          <w:b w:val="0"/>
          <w:bCs w:val="0"/>
          <w:noProof/>
          <w:kern w:val="2"/>
          <w:sz w:val="24"/>
          <w:szCs w:val="24"/>
          <w:lang w:eastAsia="it-IT"/>
          <w14:ligatures w14:val="standardContextual"/>
        </w:rPr>
      </w:pPr>
      <w:hyperlink w:anchor="_Toc201141701" w:history="1">
        <w:r w:rsidRPr="00F05559">
          <w:rPr>
            <w:rStyle w:val="Collegamentoipertestuale"/>
            <w:rFonts w:eastAsia="Arial Unicode MS" w:cs="Arial"/>
            <w:noProof/>
          </w:rPr>
          <w:t>3</w:t>
        </w:r>
        <w:r>
          <w:rPr>
            <w:rFonts w:asciiTheme="minorHAnsi" w:eastAsiaTheme="minorEastAsia" w:hAnsiTheme="minorHAnsi" w:cstheme="minorBidi"/>
            <w:b w:val="0"/>
            <w:bCs w:val="0"/>
            <w:noProof/>
            <w:kern w:val="2"/>
            <w:sz w:val="24"/>
            <w:szCs w:val="24"/>
            <w:lang w:eastAsia="it-IT"/>
            <w14:ligatures w14:val="standardContextual"/>
          </w:rPr>
          <w:tab/>
        </w:r>
        <w:r w:rsidRPr="00F05559">
          <w:rPr>
            <w:rStyle w:val="Collegamentoipertestuale"/>
            <w:rFonts w:eastAsia="Arial Unicode MS" w:cs="Arial"/>
            <w:noProof/>
          </w:rPr>
          <w:t>TERMINI E DEFINIZIONI</w:t>
        </w:r>
        <w:r>
          <w:rPr>
            <w:noProof/>
            <w:webHidden/>
          </w:rPr>
          <w:tab/>
        </w:r>
        <w:r>
          <w:rPr>
            <w:noProof/>
            <w:webHidden/>
          </w:rPr>
          <w:fldChar w:fldCharType="begin"/>
        </w:r>
        <w:r>
          <w:rPr>
            <w:noProof/>
            <w:webHidden/>
          </w:rPr>
          <w:instrText xml:space="preserve"> PAGEREF _Toc201141701 \h </w:instrText>
        </w:r>
        <w:r>
          <w:rPr>
            <w:noProof/>
            <w:webHidden/>
          </w:rPr>
        </w:r>
        <w:r>
          <w:rPr>
            <w:noProof/>
            <w:webHidden/>
          </w:rPr>
          <w:fldChar w:fldCharType="separate"/>
        </w:r>
        <w:r>
          <w:rPr>
            <w:noProof/>
            <w:webHidden/>
          </w:rPr>
          <w:t>8</w:t>
        </w:r>
        <w:r>
          <w:rPr>
            <w:noProof/>
            <w:webHidden/>
          </w:rPr>
          <w:fldChar w:fldCharType="end"/>
        </w:r>
      </w:hyperlink>
    </w:p>
    <w:p w14:paraId="15D07DBD" w14:textId="1E7DC4A9" w:rsidR="009313E0" w:rsidRDefault="009313E0">
      <w:pPr>
        <w:pStyle w:val="Sommario1"/>
        <w:tabs>
          <w:tab w:val="left" w:pos="660"/>
        </w:tabs>
        <w:rPr>
          <w:rFonts w:asciiTheme="minorHAnsi" w:eastAsiaTheme="minorEastAsia" w:hAnsiTheme="minorHAnsi" w:cstheme="minorBidi"/>
          <w:b w:val="0"/>
          <w:bCs w:val="0"/>
          <w:noProof/>
          <w:kern w:val="2"/>
          <w:sz w:val="24"/>
          <w:szCs w:val="24"/>
          <w:lang w:eastAsia="it-IT"/>
          <w14:ligatures w14:val="standardContextual"/>
        </w:rPr>
      </w:pPr>
      <w:hyperlink w:anchor="_Toc201141703" w:history="1">
        <w:r w:rsidRPr="00F05559">
          <w:rPr>
            <w:rStyle w:val="Collegamentoipertestuale"/>
            <w:rFonts w:eastAsia="Arial Unicode MS" w:cs="Arial"/>
            <w:noProof/>
          </w:rPr>
          <w:t>4</w:t>
        </w:r>
        <w:r>
          <w:rPr>
            <w:rFonts w:asciiTheme="minorHAnsi" w:eastAsiaTheme="minorEastAsia" w:hAnsiTheme="minorHAnsi" w:cstheme="minorBidi"/>
            <w:b w:val="0"/>
            <w:bCs w:val="0"/>
            <w:noProof/>
            <w:kern w:val="2"/>
            <w:sz w:val="24"/>
            <w:szCs w:val="24"/>
            <w:lang w:eastAsia="it-IT"/>
            <w14:ligatures w14:val="standardContextual"/>
          </w:rPr>
          <w:tab/>
        </w:r>
        <w:r w:rsidRPr="00F05559">
          <w:rPr>
            <w:rStyle w:val="Collegamentoipertestuale"/>
            <w:rFonts w:eastAsia="Arial Unicode MS" w:cs="Arial"/>
            <w:noProof/>
          </w:rPr>
          <w:t>PRINCIPIO</w:t>
        </w:r>
        <w:r>
          <w:rPr>
            <w:noProof/>
            <w:webHidden/>
          </w:rPr>
          <w:tab/>
        </w:r>
        <w:r>
          <w:rPr>
            <w:noProof/>
            <w:webHidden/>
          </w:rPr>
          <w:fldChar w:fldCharType="begin"/>
        </w:r>
        <w:r>
          <w:rPr>
            <w:noProof/>
            <w:webHidden/>
          </w:rPr>
          <w:instrText xml:space="preserve"> PAGEREF _Toc201141703 \h </w:instrText>
        </w:r>
        <w:r>
          <w:rPr>
            <w:noProof/>
            <w:webHidden/>
          </w:rPr>
        </w:r>
        <w:r>
          <w:rPr>
            <w:noProof/>
            <w:webHidden/>
          </w:rPr>
          <w:fldChar w:fldCharType="separate"/>
        </w:r>
        <w:r>
          <w:rPr>
            <w:noProof/>
            <w:webHidden/>
          </w:rPr>
          <w:t>9</w:t>
        </w:r>
        <w:r>
          <w:rPr>
            <w:noProof/>
            <w:webHidden/>
          </w:rPr>
          <w:fldChar w:fldCharType="end"/>
        </w:r>
      </w:hyperlink>
    </w:p>
    <w:p w14:paraId="7A748024" w14:textId="24410415" w:rsidR="009313E0" w:rsidRDefault="009313E0">
      <w:pPr>
        <w:pStyle w:val="Sommario1"/>
        <w:tabs>
          <w:tab w:val="left" w:pos="660"/>
        </w:tabs>
        <w:rPr>
          <w:rFonts w:asciiTheme="minorHAnsi" w:eastAsiaTheme="minorEastAsia" w:hAnsiTheme="minorHAnsi" w:cstheme="minorBidi"/>
          <w:b w:val="0"/>
          <w:bCs w:val="0"/>
          <w:noProof/>
          <w:kern w:val="2"/>
          <w:sz w:val="24"/>
          <w:szCs w:val="24"/>
          <w:lang w:eastAsia="it-IT"/>
          <w14:ligatures w14:val="standardContextual"/>
        </w:rPr>
      </w:pPr>
      <w:hyperlink w:anchor="_Toc201141704" w:history="1">
        <w:r w:rsidRPr="00F05559">
          <w:rPr>
            <w:rStyle w:val="Collegamentoipertestuale"/>
            <w:rFonts w:eastAsia="Arial Unicode MS" w:cs="Arial"/>
            <w:noProof/>
          </w:rPr>
          <w:t>5</w:t>
        </w:r>
        <w:r>
          <w:rPr>
            <w:rFonts w:asciiTheme="minorHAnsi" w:eastAsiaTheme="minorEastAsia" w:hAnsiTheme="minorHAnsi" w:cstheme="minorBidi"/>
            <w:b w:val="0"/>
            <w:bCs w:val="0"/>
            <w:noProof/>
            <w:kern w:val="2"/>
            <w:sz w:val="24"/>
            <w:szCs w:val="24"/>
            <w:lang w:eastAsia="it-IT"/>
            <w14:ligatures w14:val="standardContextual"/>
          </w:rPr>
          <w:tab/>
        </w:r>
        <w:r w:rsidRPr="00F05559">
          <w:rPr>
            <w:rStyle w:val="Collegamentoipertestuale"/>
            <w:rFonts w:eastAsia="Arial Unicode MS" w:cs="Arial"/>
            <w:noProof/>
          </w:rPr>
          <w:t>ANALISI DEL CONTESTO</w:t>
        </w:r>
        <w:r>
          <w:rPr>
            <w:noProof/>
            <w:webHidden/>
          </w:rPr>
          <w:tab/>
        </w:r>
        <w:r>
          <w:rPr>
            <w:noProof/>
            <w:webHidden/>
          </w:rPr>
          <w:fldChar w:fldCharType="begin"/>
        </w:r>
        <w:r>
          <w:rPr>
            <w:noProof/>
            <w:webHidden/>
          </w:rPr>
          <w:instrText xml:space="preserve"> PAGEREF _Toc201141704 \h </w:instrText>
        </w:r>
        <w:r>
          <w:rPr>
            <w:noProof/>
            <w:webHidden/>
          </w:rPr>
        </w:r>
        <w:r>
          <w:rPr>
            <w:noProof/>
            <w:webHidden/>
          </w:rPr>
          <w:fldChar w:fldCharType="separate"/>
        </w:r>
        <w:r>
          <w:rPr>
            <w:noProof/>
            <w:webHidden/>
          </w:rPr>
          <w:t>10</w:t>
        </w:r>
        <w:r>
          <w:rPr>
            <w:noProof/>
            <w:webHidden/>
          </w:rPr>
          <w:fldChar w:fldCharType="end"/>
        </w:r>
      </w:hyperlink>
    </w:p>
    <w:p w14:paraId="6264E607" w14:textId="3E114A95" w:rsidR="009313E0" w:rsidRDefault="009313E0">
      <w:pPr>
        <w:pStyle w:val="Sommario1"/>
        <w:tabs>
          <w:tab w:val="left" w:pos="660"/>
        </w:tabs>
        <w:rPr>
          <w:rFonts w:asciiTheme="minorHAnsi" w:eastAsiaTheme="minorEastAsia" w:hAnsiTheme="minorHAnsi" w:cstheme="minorBidi"/>
          <w:b w:val="0"/>
          <w:bCs w:val="0"/>
          <w:noProof/>
          <w:kern w:val="2"/>
          <w:sz w:val="24"/>
          <w:szCs w:val="24"/>
          <w:lang w:eastAsia="it-IT"/>
          <w14:ligatures w14:val="standardContextual"/>
        </w:rPr>
      </w:pPr>
      <w:hyperlink w:anchor="_Toc201141705" w:history="1">
        <w:r w:rsidRPr="00F05559">
          <w:rPr>
            <w:rStyle w:val="Collegamentoipertestuale"/>
            <w:rFonts w:eastAsia="Arial Unicode MS"/>
            <w:noProof/>
          </w:rPr>
          <w:t>6</w:t>
        </w:r>
        <w:r>
          <w:rPr>
            <w:rFonts w:asciiTheme="minorHAnsi" w:eastAsiaTheme="minorEastAsia" w:hAnsiTheme="minorHAnsi" w:cstheme="minorBidi"/>
            <w:b w:val="0"/>
            <w:bCs w:val="0"/>
            <w:noProof/>
            <w:kern w:val="2"/>
            <w:sz w:val="24"/>
            <w:szCs w:val="24"/>
            <w:lang w:eastAsia="it-IT"/>
            <w14:ligatures w14:val="standardContextual"/>
          </w:rPr>
          <w:tab/>
        </w:r>
        <w:r w:rsidRPr="00F05559">
          <w:rPr>
            <w:rStyle w:val="Collegamentoipertestuale"/>
            <w:rFonts w:eastAsia="Arial Unicode MS"/>
            <w:noProof/>
          </w:rPr>
          <w:t>IL GENDER BUDGETING</w:t>
        </w:r>
        <w:r>
          <w:rPr>
            <w:noProof/>
            <w:webHidden/>
          </w:rPr>
          <w:tab/>
        </w:r>
        <w:r>
          <w:rPr>
            <w:noProof/>
            <w:webHidden/>
          </w:rPr>
          <w:fldChar w:fldCharType="begin"/>
        </w:r>
        <w:r>
          <w:rPr>
            <w:noProof/>
            <w:webHidden/>
          </w:rPr>
          <w:instrText xml:space="preserve"> PAGEREF _Toc201141705 \h </w:instrText>
        </w:r>
        <w:r>
          <w:rPr>
            <w:noProof/>
            <w:webHidden/>
          </w:rPr>
        </w:r>
        <w:r>
          <w:rPr>
            <w:noProof/>
            <w:webHidden/>
          </w:rPr>
          <w:fldChar w:fldCharType="separate"/>
        </w:r>
        <w:r>
          <w:rPr>
            <w:noProof/>
            <w:webHidden/>
          </w:rPr>
          <w:t>13</w:t>
        </w:r>
        <w:r>
          <w:rPr>
            <w:noProof/>
            <w:webHidden/>
          </w:rPr>
          <w:fldChar w:fldCharType="end"/>
        </w:r>
      </w:hyperlink>
    </w:p>
    <w:p w14:paraId="53D98B9C" w14:textId="657D6785" w:rsidR="009313E0" w:rsidRDefault="009313E0">
      <w:pPr>
        <w:pStyle w:val="Sommario1"/>
        <w:tabs>
          <w:tab w:val="left" w:pos="660"/>
        </w:tabs>
        <w:rPr>
          <w:rFonts w:asciiTheme="minorHAnsi" w:eastAsiaTheme="minorEastAsia" w:hAnsiTheme="minorHAnsi" w:cstheme="minorBidi"/>
          <w:b w:val="0"/>
          <w:bCs w:val="0"/>
          <w:noProof/>
          <w:kern w:val="2"/>
          <w:sz w:val="24"/>
          <w:szCs w:val="24"/>
          <w:lang w:eastAsia="it-IT"/>
          <w14:ligatures w14:val="standardContextual"/>
        </w:rPr>
      </w:pPr>
      <w:hyperlink w:anchor="_Toc201141706" w:history="1">
        <w:r w:rsidRPr="00F05559">
          <w:rPr>
            <w:rStyle w:val="Collegamentoipertestuale"/>
            <w:rFonts w:eastAsia="Arial Unicode MS"/>
            <w:noProof/>
          </w:rPr>
          <w:t>7</w:t>
        </w:r>
        <w:r>
          <w:rPr>
            <w:rFonts w:asciiTheme="minorHAnsi" w:eastAsiaTheme="minorEastAsia" w:hAnsiTheme="minorHAnsi" w:cstheme="minorBidi"/>
            <w:b w:val="0"/>
            <w:bCs w:val="0"/>
            <w:noProof/>
            <w:kern w:val="2"/>
            <w:sz w:val="24"/>
            <w:szCs w:val="24"/>
            <w:lang w:eastAsia="it-IT"/>
            <w14:ligatures w14:val="standardContextual"/>
          </w:rPr>
          <w:tab/>
        </w:r>
        <w:r w:rsidRPr="00F05559">
          <w:rPr>
            <w:rStyle w:val="Collegamentoipertestuale"/>
            <w:rFonts w:eastAsia="Arial Unicode MS"/>
            <w:noProof/>
          </w:rPr>
          <w:t>LA VALUTAZIONE DI IMPATTO DI GENERE (VIG)</w:t>
        </w:r>
        <w:r>
          <w:rPr>
            <w:noProof/>
            <w:webHidden/>
          </w:rPr>
          <w:tab/>
        </w:r>
        <w:r>
          <w:rPr>
            <w:noProof/>
            <w:webHidden/>
          </w:rPr>
          <w:fldChar w:fldCharType="begin"/>
        </w:r>
        <w:r>
          <w:rPr>
            <w:noProof/>
            <w:webHidden/>
          </w:rPr>
          <w:instrText xml:space="preserve"> PAGEREF _Toc201141706 \h </w:instrText>
        </w:r>
        <w:r>
          <w:rPr>
            <w:noProof/>
            <w:webHidden/>
          </w:rPr>
        </w:r>
        <w:r>
          <w:rPr>
            <w:noProof/>
            <w:webHidden/>
          </w:rPr>
          <w:fldChar w:fldCharType="separate"/>
        </w:r>
        <w:r>
          <w:rPr>
            <w:noProof/>
            <w:webHidden/>
          </w:rPr>
          <w:t>15</w:t>
        </w:r>
        <w:r>
          <w:rPr>
            <w:noProof/>
            <w:webHidden/>
          </w:rPr>
          <w:fldChar w:fldCharType="end"/>
        </w:r>
      </w:hyperlink>
    </w:p>
    <w:p w14:paraId="5BCDBD2E" w14:textId="76C3D6CC" w:rsidR="009313E0" w:rsidRDefault="009313E0">
      <w:pPr>
        <w:pStyle w:val="Sommario2"/>
        <w:rPr>
          <w:rFonts w:asciiTheme="minorHAnsi" w:eastAsiaTheme="minorEastAsia" w:hAnsiTheme="minorHAnsi" w:cstheme="minorBidi"/>
          <w:b w:val="0"/>
          <w:iCs w:val="0"/>
          <w:kern w:val="2"/>
          <w:sz w:val="24"/>
          <w:szCs w:val="24"/>
          <w:lang w:eastAsia="it-IT"/>
          <w14:ligatures w14:val="standardContextual"/>
        </w:rPr>
      </w:pPr>
      <w:hyperlink w:anchor="_Toc201141707" w:history="1">
        <w:r w:rsidRPr="00F05559">
          <w:rPr>
            <w:rStyle w:val="Collegamentoipertestuale"/>
          </w:rPr>
          <w:t>7.1</w:t>
        </w:r>
        <w:r>
          <w:rPr>
            <w:rFonts w:asciiTheme="minorHAnsi" w:eastAsiaTheme="minorEastAsia" w:hAnsiTheme="minorHAnsi" w:cstheme="minorBidi"/>
            <w:b w:val="0"/>
            <w:iCs w:val="0"/>
            <w:kern w:val="2"/>
            <w:sz w:val="24"/>
            <w:szCs w:val="24"/>
            <w:lang w:eastAsia="it-IT"/>
            <w14:ligatures w14:val="standardContextual"/>
          </w:rPr>
          <w:tab/>
        </w:r>
        <w:r w:rsidRPr="00F05559">
          <w:rPr>
            <w:rStyle w:val="Collegamentoipertestuale"/>
          </w:rPr>
          <w:t>Ambito di applicazione</w:t>
        </w:r>
        <w:r>
          <w:rPr>
            <w:webHidden/>
          </w:rPr>
          <w:tab/>
        </w:r>
        <w:r>
          <w:rPr>
            <w:webHidden/>
          </w:rPr>
          <w:fldChar w:fldCharType="begin"/>
        </w:r>
        <w:r>
          <w:rPr>
            <w:webHidden/>
          </w:rPr>
          <w:instrText xml:space="preserve"> PAGEREF _Toc201141707 \h </w:instrText>
        </w:r>
        <w:r>
          <w:rPr>
            <w:webHidden/>
          </w:rPr>
        </w:r>
        <w:r>
          <w:rPr>
            <w:webHidden/>
          </w:rPr>
          <w:fldChar w:fldCharType="separate"/>
        </w:r>
        <w:r>
          <w:rPr>
            <w:webHidden/>
          </w:rPr>
          <w:t>15</w:t>
        </w:r>
        <w:r>
          <w:rPr>
            <w:webHidden/>
          </w:rPr>
          <w:fldChar w:fldCharType="end"/>
        </w:r>
      </w:hyperlink>
    </w:p>
    <w:p w14:paraId="7EDF81EC" w14:textId="6D6E806E" w:rsidR="009313E0" w:rsidRDefault="009313E0">
      <w:pPr>
        <w:pStyle w:val="Sommario2"/>
        <w:rPr>
          <w:rFonts w:asciiTheme="minorHAnsi" w:eastAsiaTheme="minorEastAsia" w:hAnsiTheme="minorHAnsi" w:cstheme="minorBidi"/>
          <w:b w:val="0"/>
          <w:iCs w:val="0"/>
          <w:kern w:val="2"/>
          <w:sz w:val="24"/>
          <w:szCs w:val="24"/>
          <w:lang w:eastAsia="it-IT"/>
          <w14:ligatures w14:val="standardContextual"/>
        </w:rPr>
      </w:pPr>
      <w:hyperlink w:anchor="_Toc201141708" w:history="1">
        <w:r w:rsidRPr="00F05559">
          <w:rPr>
            <w:rStyle w:val="Collegamentoipertestuale"/>
          </w:rPr>
          <w:t>7.2</w:t>
        </w:r>
        <w:r>
          <w:rPr>
            <w:rFonts w:asciiTheme="minorHAnsi" w:eastAsiaTheme="minorEastAsia" w:hAnsiTheme="minorHAnsi" w:cstheme="minorBidi"/>
            <w:b w:val="0"/>
            <w:iCs w:val="0"/>
            <w:kern w:val="2"/>
            <w:sz w:val="24"/>
            <w:szCs w:val="24"/>
            <w:lang w:eastAsia="it-IT"/>
            <w14:ligatures w14:val="standardContextual"/>
          </w:rPr>
          <w:tab/>
        </w:r>
        <w:r w:rsidRPr="00F05559">
          <w:rPr>
            <w:rStyle w:val="Collegamentoipertestuale"/>
          </w:rPr>
          <w:t>Gli indicatori</w:t>
        </w:r>
        <w:r>
          <w:rPr>
            <w:webHidden/>
          </w:rPr>
          <w:tab/>
        </w:r>
        <w:r>
          <w:rPr>
            <w:webHidden/>
          </w:rPr>
          <w:fldChar w:fldCharType="begin"/>
        </w:r>
        <w:r>
          <w:rPr>
            <w:webHidden/>
          </w:rPr>
          <w:instrText xml:space="preserve"> PAGEREF _Toc201141708 \h </w:instrText>
        </w:r>
        <w:r>
          <w:rPr>
            <w:webHidden/>
          </w:rPr>
        </w:r>
        <w:r>
          <w:rPr>
            <w:webHidden/>
          </w:rPr>
          <w:fldChar w:fldCharType="separate"/>
        </w:r>
        <w:r>
          <w:rPr>
            <w:webHidden/>
          </w:rPr>
          <w:t>15</w:t>
        </w:r>
        <w:r>
          <w:rPr>
            <w:webHidden/>
          </w:rPr>
          <w:fldChar w:fldCharType="end"/>
        </w:r>
      </w:hyperlink>
    </w:p>
    <w:p w14:paraId="5F88305F" w14:textId="5606427C" w:rsidR="009313E0" w:rsidRDefault="009313E0">
      <w:pPr>
        <w:pStyle w:val="Sommario1"/>
        <w:tabs>
          <w:tab w:val="left" w:pos="660"/>
        </w:tabs>
        <w:rPr>
          <w:rFonts w:asciiTheme="minorHAnsi" w:eastAsiaTheme="minorEastAsia" w:hAnsiTheme="minorHAnsi" w:cstheme="minorBidi"/>
          <w:b w:val="0"/>
          <w:bCs w:val="0"/>
          <w:noProof/>
          <w:kern w:val="2"/>
          <w:sz w:val="24"/>
          <w:szCs w:val="24"/>
          <w:lang w:eastAsia="it-IT"/>
          <w14:ligatures w14:val="standardContextual"/>
        </w:rPr>
      </w:pPr>
      <w:hyperlink w:anchor="_Toc201141709" w:history="1">
        <w:r w:rsidRPr="00F05559">
          <w:rPr>
            <w:rStyle w:val="Collegamentoipertestuale"/>
            <w:rFonts w:eastAsia="Arial Unicode MS"/>
            <w:noProof/>
          </w:rPr>
          <w:t>8</w:t>
        </w:r>
        <w:r>
          <w:rPr>
            <w:rFonts w:asciiTheme="minorHAnsi" w:eastAsiaTheme="minorEastAsia" w:hAnsiTheme="minorHAnsi" w:cstheme="minorBidi"/>
            <w:b w:val="0"/>
            <w:bCs w:val="0"/>
            <w:noProof/>
            <w:kern w:val="2"/>
            <w:sz w:val="24"/>
            <w:szCs w:val="24"/>
            <w:lang w:eastAsia="it-IT"/>
            <w14:ligatures w14:val="standardContextual"/>
          </w:rPr>
          <w:tab/>
        </w:r>
        <w:r w:rsidRPr="00F05559">
          <w:rPr>
            <w:rStyle w:val="Collegamentoipertestuale"/>
            <w:rFonts w:eastAsia="Arial Unicode MS"/>
            <w:noProof/>
          </w:rPr>
          <w:t>VALUTAZIONE DI CONFORMITÀ</w:t>
        </w:r>
        <w:r>
          <w:rPr>
            <w:noProof/>
            <w:webHidden/>
          </w:rPr>
          <w:tab/>
        </w:r>
        <w:r>
          <w:rPr>
            <w:noProof/>
            <w:webHidden/>
          </w:rPr>
          <w:fldChar w:fldCharType="begin"/>
        </w:r>
        <w:r>
          <w:rPr>
            <w:noProof/>
            <w:webHidden/>
          </w:rPr>
          <w:instrText xml:space="preserve"> PAGEREF _Toc201141709 \h </w:instrText>
        </w:r>
        <w:r>
          <w:rPr>
            <w:noProof/>
            <w:webHidden/>
          </w:rPr>
        </w:r>
        <w:r>
          <w:rPr>
            <w:noProof/>
            <w:webHidden/>
          </w:rPr>
          <w:fldChar w:fldCharType="separate"/>
        </w:r>
        <w:r>
          <w:rPr>
            <w:noProof/>
            <w:webHidden/>
          </w:rPr>
          <w:t>22</w:t>
        </w:r>
        <w:r>
          <w:rPr>
            <w:noProof/>
            <w:webHidden/>
          </w:rPr>
          <w:fldChar w:fldCharType="end"/>
        </w:r>
      </w:hyperlink>
    </w:p>
    <w:p w14:paraId="06B48D3F" w14:textId="25F2279D" w:rsidR="009313E0" w:rsidRDefault="009313E0">
      <w:pPr>
        <w:pStyle w:val="Sommario1"/>
        <w:rPr>
          <w:rFonts w:asciiTheme="minorHAnsi" w:eastAsiaTheme="minorEastAsia" w:hAnsiTheme="minorHAnsi" w:cstheme="minorBidi"/>
          <w:b w:val="0"/>
          <w:bCs w:val="0"/>
          <w:noProof/>
          <w:kern w:val="2"/>
          <w:sz w:val="24"/>
          <w:szCs w:val="24"/>
          <w:lang w:eastAsia="it-IT"/>
          <w14:ligatures w14:val="standardContextual"/>
        </w:rPr>
      </w:pPr>
      <w:hyperlink w:anchor="_Toc201141710" w:history="1">
        <w:r w:rsidRPr="00F05559">
          <w:rPr>
            <w:rStyle w:val="Collegamentoipertestuale"/>
            <w:rFonts w:eastAsia="Arial" w:cs="Arial"/>
            <w:noProof/>
            <w:lang w:eastAsia="it-IT"/>
          </w:rPr>
          <w:t>APPENDICE A – VALUTAZIONE DI CONFORMITÀ DI TERZA PARTE</w:t>
        </w:r>
        <w:r w:rsidR="00DA4D10">
          <w:rPr>
            <w:rStyle w:val="Collegamentoipertestuale"/>
            <w:rFonts w:eastAsia="Arial" w:cs="Arial"/>
            <w:noProof/>
            <w:lang w:eastAsia="it-IT"/>
          </w:rPr>
          <w:t xml:space="preserve"> (normativa)</w:t>
        </w:r>
        <w:r>
          <w:rPr>
            <w:noProof/>
            <w:webHidden/>
          </w:rPr>
          <w:tab/>
        </w:r>
        <w:r>
          <w:rPr>
            <w:noProof/>
            <w:webHidden/>
          </w:rPr>
          <w:fldChar w:fldCharType="begin"/>
        </w:r>
        <w:r>
          <w:rPr>
            <w:noProof/>
            <w:webHidden/>
          </w:rPr>
          <w:instrText xml:space="preserve"> PAGEREF _Toc201141710 \h </w:instrText>
        </w:r>
        <w:r>
          <w:rPr>
            <w:noProof/>
            <w:webHidden/>
          </w:rPr>
        </w:r>
        <w:r>
          <w:rPr>
            <w:noProof/>
            <w:webHidden/>
          </w:rPr>
          <w:fldChar w:fldCharType="separate"/>
        </w:r>
        <w:r>
          <w:rPr>
            <w:noProof/>
            <w:webHidden/>
          </w:rPr>
          <w:t>23</w:t>
        </w:r>
        <w:r>
          <w:rPr>
            <w:noProof/>
            <w:webHidden/>
          </w:rPr>
          <w:fldChar w:fldCharType="end"/>
        </w:r>
      </w:hyperlink>
    </w:p>
    <w:p w14:paraId="0136897C" w14:textId="57CAF33D" w:rsidR="009313E0" w:rsidRDefault="009313E0">
      <w:pPr>
        <w:pStyle w:val="Sommario1"/>
        <w:rPr>
          <w:rFonts w:asciiTheme="minorHAnsi" w:eastAsiaTheme="minorEastAsia" w:hAnsiTheme="minorHAnsi" w:cstheme="minorBidi"/>
          <w:b w:val="0"/>
          <w:bCs w:val="0"/>
          <w:noProof/>
          <w:kern w:val="2"/>
          <w:sz w:val="24"/>
          <w:szCs w:val="24"/>
          <w:lang w:eastAsia="it-IT"/>
          <w14:ligatures w14:val="standardContextual"/>
        </w:rPr>
      </w:pPr>
      <w:hyperlink w:anchor="_Toc201141712" w:history="1">
        <w:r w:rsidRPr="00F05559">
          <w:rPr>
            <w:rStyle w:val="Collegamentoipertestuale"/>
            <w:rFonts w:eastAsia="Arial Unicode MS" w:cs="Arial"/>
            <w:noProof/>
            <w:lang w:eastAsia="it-IT"/>
          </w:rPr>
          <w:t>APPENDICE B – FONDI EUROPEI</w:t>
        </w:r>
        <w:r w:rsidR="00DA4D10">
          <w:rPr>
            <w:rStyle w:val="Collegamentoipertestuale"/>
            <w:rFonts w:eastAsia="Arial Unicode MS" w:cs="Arial"/>
            <w:noProof/>
            <w:lang w:eastAsia="it-IT"/>
          </w:rPr>
          <w:t xml:space="preserve"> (informativa)</w:t>
        </w:r>
        <w:r>
          <w:rPr>
            <w:noProof/>
            <w:webHidden/>
          </w:rPr>
          <w:tab/>
        </w:r>
        <w:r>
          <w:rPr>
            <w:noProof/>
            <w:webHidden/>
          </w:rPr>
          <w:fldChar w:fldCharType="begin"/>
        </w:r>
        <w:r>
          <w:rPr>
            <w:noProof/>
            <w:webHidden/>
          </w:rPr>
          <w:instrText xml:space="preserve"> PAGEREF _Toc201141712 \h </w:instrText>
        </w:r>
        <w:r>
          <w:rPr>
            <w:noProof/>
            <w:webHidden/>
          </w:rPr>
        </w:r>
        <w:r>
          <w:rPr>
            <w:noProof/>
            <w:webHidden/>
          </w:rPr>
          <w:fldChar w:fldCharType="separate"/>
        </w:r>
        <w:r>
          <w:rPr>
            <w:noProof/>
            <w:webHidden/>
          </w:rPr>
          <w:t>28</w:t>
        </w:r>
        <w:r>
          <w:rPr>
            <w:noProof/>
            <w:webHidden/>
          </w:rPr>
          <w:fldChar w:fldCharType="end"/>
        </w:r>
      </w:hyperlink>
    </w:p>
    <w:p w14:paraId="047D9F93" w14:textId="7077D199" w:rsidR="00572D04" w:rsidRPr="00DA4D10" w:rsidRDefault="009313E0" w:rsidP="00DA4D10">
      <w:pPr>
        <w:pStyle w:val="Sommario1"/>
        <w:rPr>
          <w:rFonts w:asciiTheme="minorHAnsi" w:eastAsiaTheme="minorEastAsia" w:hAnsiTheme="minorHAnsi" w:cstheme="minorBidi"/>
          <w:b w:val="0"/>
          <w:bCs w:val="0"/>
          <w:noProof/>
          <w:kern w:val="2"/>
          <w:sz w:val="24"/>
          <w:szCs w:val="24"/>
          <w:lang w:eastAsia="it-IT"/>
          <w14:ligatures w14:val="standardContextual"/>
        </w:rPr>
      </w:pPr>
      <w:hyperlink w:anchor="_Toc201141714" w:history="1">
        <w:r w:rsidRPr="00F05559">
          <w:rPr>
            <w:rStyle w:val="Collegamentoipertestuale"/>
            <w:rFonts w:eastAsia="Arial Unicode MS" w:cs="Arial"/>
            <w:noProof/>
            <w:lang w:eastAsia="it-IT"/>
          </w:rPr>
          <w:t>BIBLIOGRAFIA</w:t>
        </w:r>
        <w:r>
          <w:rPr>
            <w:noProof/>
            <w:webHidden/>
          </w:rPr>
          <w:tab/>
        </w:r>
        <w:r>
          <w:rPr>
            <w:noProof/>
            <w:webHidden/>
          </w:rPr>
          <w:fldChar w:fldCharType="begin"/>
        </w:r>
        <w:r>
          <w:rPr>
            <w:noProof/>
            <w:webHidden/>
          </w:rPr>
          <w:instrText xml:space="preserve"> PAGEREF _Toc201141714 \h </w:instrText>
        </w:r>
        <w:r>
          <w:rPr>
            <w:noProof/>
            <w:webHidden/>
          </w:rPr>
        </w:r>
        <w:r>
          <w:rPr>
            <w:noProof/>
            <w:webHidden/>
          </w:rPr>
          <w:fldChar w:fldCharType="separate"/>
        </w:r>
        <w:r>
          <w:rPr>
            <w:noProof/>
            <w:webHidden/>
          </w:rPr>
          <w:t>28</w:t>
        </w:r>
        <w:r>
          <w:rPr>
            <w:noProof/>
            <w:webHidden/>
          </w:rPr>
          <w:fldChar w:fldCharType="end"/>
        </w:r>
      </w:hyperlink>
      <w:r w:rsidR="009042FA" w:rsidRPr="003128ED">
        <w:rPr>
          <w:rFonts w:eastAsia="Arial Unicode MS"/>
        </w:rPr>
        <w:fldChar w:fldCharType="end"/>
      </w:r>
      <w:bookmarkEnd w:id="0"/>
      <w:bookmarkEnd w:id="1"/>
    </w:p>
    <w:p w14:paraId="625F7496" w14:textId="77777777" w:rsidR="00183E70" w:rsidRPr="003128ED" w:rsidRDefault="00183E70">
      <w:pPr>
        <w:rPr>
          <w:rFonts w:eastAsia="Arial Unicode MS"/>
        </w:rPr>
      </w:pPr>
    </w:p>
    <w:p w14:paraId="03088273" w14:textId="77777777" w:rsidR="00553B96" w:rsidRPr="003128ED" w:rsidRDefault="00553B96">
      <w:pPr>
        <w:rPr>
          <w:rFonts w:eastAsia="Arial Unicode MS"/>
        </w:rPr>
        <w:sectPr w:rsidR="00553B96" w:rsidRPr="003128ED" w:rsidSect="009220B1">
          <w:pgSz w:w="11906" w:h="16838" w:code="9"/>
          <w:pgMar w:top="1440" w:right="1080" w:bottom="1440" w:left="1080" w:header="709" w:footer="709" w:gutter="0"/>
          <w:pgNumType w:start="1"/>
          <w:cols w:space="720"/>
          <w:docGrid w:linePitch="360"/>
        </w:sectPr>
      </w:pPr>
    </w:p>
    <w:p w14:paraId="78813517" w14:textId="77777777" w:rsidR="00DD6ED5" w:rsidRPr="003128ED" w:rsidRDefault="00A62C3D" w:rsidP="00DD6ED5">
      <w:pPr>
        <w:pStyle w:val="Titolo1"/>
        <w:numPr>
          <w:ilvl w:val="0"/>
          <w:numId w:val="0"/>
        </w:numPr>
        <w:spacing w:line="240" w:lineRule="auto"/>
        <w:rPr>
          <w:rFonts w:eastAsia="Arial Unicode MS" w:cs="Arial"/>
          <w:szCs w:val="22"/>
        </w:rPr>
      </w:pPr>
      <w:bookmarkStart w:id="2" w:name="_Toc316398631"/>
      <w:bookmarkStart w:id="3" w:name="_Toc316474160"/>
      <w:bookmarkStart w:id="4" w:name="_Toc316561551"/>
      <w:bookmarkStart w:id="5" w:name="_Toc316561830"/>
      <w:bookmarkStart w:id="6" w:name="_Toc316562147"/>
      <w:bookmarkStart w:id="7" w:name="_Toc316562463"/>
      <w:bookmarkStart w:id="8" w:name="_Toc316563658"/>
      <w:bookmarkStart w:id="9" w:name="_Toc201141698"/>
      <w:r w:rsidRPr="003128ED">
        <w:rPr>
          <w:rFonts w:eastAsia="Arial Unicode MS" w:cs="Arial"/>
          <w:szCs w:val="22"/>
        </w:rPr>
        <w:lastRenderedPageBreak/>
        <w:t>INTRODUZIONE</w:t>
      </w:r>
      <w:bookmarkEnd w:id="2"/>
      <w:bookmarkEnd w:id="3"/>
      <w:bookmarkEnd w:id="4"/>
      <w:bookmarkEnd w:id="5"/>
      <w:bookmarkEnd w:id="6"/>
      <w:bookmarkEnd w:id="7"/>
      <w:bookmarkEnd w:id="8"/>
      <w:bookmarkEnd w:id="9"/>
    </w:p>
    <w:p w14:paraId="6AA75FB6" w14:textId="0646FB36" w:rsidR="00586C20" w:rsidRDefault="000D6427" w:rsidP="005E27F1">
      <w:pPr>
        <w:spacing w:before="240" w:after="240"/>
        <w:rPr>
          <w:rFonts w:eastAsia="Times New Roman"/>
          <w:i/>
          <w:lang w:eastAsia="it-IT"/>
        </w:rPr>
      </w:pPr>
      <w:r w:rsidRPr="000D6427">
        <w:rPr>
          <w:rFonts w:eastAsia="Times New Roman"/>
          <w:iCs/>
          <w:lang w:eastAsia="it-IT"/>
        </w:rPr>
        <w:t>Promuovere l'uguaglianza di genere è importante non solo da un punto di vista morale, ma anche economico e sociale: le economie più eque hanno tassi di occupazione più elevati, migliore distribuzione del reddito e accesso più ampio all'istruzione e agli altri servizi. Viceversa, diversi studi hanno dimostrato che la disuguaglianza ha costi economici significativi</w:t>
      </w:r>
      <w:r w:rsidR="0003128D">
        <w:rPr>
          <w:rStyle w:val="Rimandonotaapidipagina"/>
          <w:rFonts w:eastAsia="Times New Roman"/>
          <w:iCs/>
          <w:lang w:eastAsia="it-IT"/>
        </w:rPr>
        <w:footnoteReference w:id="2"/>
      </w:r>
      <w:r w:rsidRPr="000D6427">
        <w:rPr>
          <w:rFonts w:eastAsia="Times New Roman"/>
          <w:i/>
          <w:lang w:eastAsia="it-IT"/>
        </w:rPr>
        <w:t xml:space="preserve">.  </w:t>
      </w:r>
    </w:p>
    <w:p w14:paraId="49B7C622" w14:textId="35799D5B" w:rsidR="007D6DE3" w:rsidRPr="007D6DE3" w:rsidRDefault="007D6DE3" w:rsidP="007D6DE3">
      <w:pPr>
        <w:spacing w:before="240" w:after="240"/>
        <w:rPr>
          <w:rFonts w:eastAsia="Times New Roman"/>
          <w:iCs/>
          <w:lang w:eastAsia="it-IT"/>
        </w:rPr>
      </w:pPr>
      <w:r w:rsidRPr="007D6DE3">
        <w:rPr>
          <w:rFonts w:eastAsia="Times New Roman"/>
          <w:iCs/>
          <w:lang w:eastAsia="it-IT"/>
        </w:rPr>
        <w:t>Dal</w:t>
      </w:r>
      <w:r w:rsidR="001E271C">
        <w:rPr>
          <w:rFonts w:eastAsia="Times New Roman"/>
          <w:iCs/>
          <w:lang w:eastAsia="it-IT"/>
        </w:rPr>
        <w:t xml:space="preserve">l’ultimo rapporto </w:t>
      </w:r>
      <w:r w:rsidRPr="007D6DE3">
        <w:rPr>
          <w:rFonts w:eastAsia="Times New Roman"/>
          <w:iCs/>
          <w:lang w:eastAsia="it-IT"/>
        </w:rPr>
        <w:t>CNEL – ISTAT</w:t>
      </w:r>
      <w:r w:rsidR="00E10D5D">
        <w:rPr>
          <w:rStyle w:val="Rimandonotaapidipagina"/>
          <w:rFonts w:eastAsia="Times New Roman"/>
          <w:iCs/>
          <w:lang w:eastAsia="it-IT"/>
        </w:rPr>
        <w:footnoteReference w:id="3"/>
      </w:r>
      <w:r w:rsidRPr="007D6DE3">
        <w:rPr>
          <w:rFonts w:eastAsia="Times New Roman"/>
          <w:iCs/>
          <w:lang w:eastAsia="it-IT"/>
        </w:rPr>
        <w:t xml:space="preserve"> con riferimento alla situazione del mercato del lavoro nel corso del 2024, è emerso che nel secondo trimestre del 2024, il tasso di occupazione femminile nella fascia di età 15-64 anni ha registrato un aumento di 0,9 punti percentuali rispetto allo stesso periodo dell'anno precedente, in continuità con le dinamiche dei trimestri precedenti del 2023, quando la crescita tendenziale era sempre superiore a un punto percentuale. </w:t>
      </w:r>
    </w:p>
    <w:p w14:paraId="2A38D328" w14:textId="77777777" w:rsidR="007D6DE3" w:rsidRPr="007D6DE3" w:rsidRDefault="007D6DE3" w:rsidP="007D6DE3">
      <w:pPr>
        <w:spacing w:before="240" w:after="240"/>
        <w:rPr>
          <w:rFonts w:eastAsia="Times New Roman"/>
          <w:iCs/>
          <w:lang w:eastAsia="it-IT"/>
        </w:rPr>
      </w:pPr>
      <w:r w:rsidRPr="007D6DE3">
        <w:rPr>
          <w:rFonts w:eastAsia="Times New Roman"/>
          <w:iCs/>
          <w:lang w:eastAsia="it-IT"/>
        </w:rPr>
        <w:t xml:space="preserve">Tuttavia, questa dinamica positiva è contrapposta a un persistente e ampio divario rispetto alla media europea. Nel terzo trimestre del 2024, il tasso di occupazione femminile in Italia risulta inferiore di 12,6 punti rispetto alla media dell'Unione Europea e alla Francia, e di 20 punti rispetto alla Germania, rimanendo il più basso tra i ventisette Stati membri dell'Unione Europea. </w:t>
      </w:r>
    </w:p>
    <w:p w14:paraId="3044AB7F" w14:textId="0C995656" w:rsidR="007D6DE3" w:rsidRPr="007D6DE3" w:rsidRDefault="007D6DE3" w:rsidP="007D6DE3">
      <w:pPr>
        <w:spacing w:before="240" w:after="240"/>
        <w:rPr>
          <w:rFonts w:eastAsia="Times New Roman"/>
          <w:iCs/>
          <w:lang w:eastAsia="it-IT"/>
        </w:rPr>
      </w:pPr>
      <w:r w:rsidRPr="007D6DE3">
        <w:rPr>
          <w:rFonts w:eastAsia="Times New Roman"/>
          <w:iCs/>
          <w:lang w:eastAsia="it-IT"/>
        </w:rPr>
        <w:t xml:space="preserve">Si rileva che i divari nella </w:t>
      </w:r>
      <w:r w:rsidRPr="00A62548">
        <w:rPr>
          <w:rFonts w:eastAsia="Times New Roman"/>
          <w:b/>
          <w:bCs/>
          <w:iCs/>
          <w:lang w:eastAsia="it-IT"/>
        </w:rPr>
        <w:t>partecipazione femminile al mercato del lavoro</w:t>
      </w:r>
      <w:r w:rsidRPr="007D6DE3">
        <w:rPr>
          <w:rFonts w:eastAsia="Times New Roman"/>
          <w:iCs/>
          <w:lang w:eastAsia="it-IT"/>
        </w:rPr>
        <w:t xml:space="preserve"> con l'Unione Europea sono ulteriormente amplificati dalle significative disparità territoriali, che si aggiungono a quelle generazionali, per cittadinanza e per livello di istruzione. Nel secondo trimestre del 2024, la percentuale di donne occupate di età compresa tra i 15 e i 64 anni risulta pari al 62,4% nel Nord Italia, al 60,8% nel Centro e scende a poco più di un terzo nel Mezzogiorno (36,9%). Nelle regioni settentrionali, il divario rispetto alla media dell'Unione Europea si riduce a circa un terzo del divario complessivo, mentre nel Mezzogiorno la distanza appare notevolmente più ampia e difficilmente colmabile nel breve periodo.</w:t>
      </w:r>
    </w:p>
    <w:p w14:paraId="4D2A3A9F" w14:textId="044E4CA8" w:rsidR="007D6DE3" w:rsidRPr="007D6DE3" w:rsidRDefault="007D6DE3" w:rsidP="007D6DE3">
      <w:pPr>
        <w:spacing w:before="240" w:after="240"/>
        <w:rPr>
          <w:rFonts w:eastAsia="Times New Roman"/>
          <w:iCs/>
          <w:lang w:eastAsia="it-IT"/>
        </w:rPr>
      </w:pPr>
      <w:r w:rsidRPr="007D6DE3">
        <w:rPr>
          <w:rFonts w:eastAsia="Times New Roman"/>
          <w:iCs/>
          <w:lang w:eastAsia="it-IT"/>
        </w:rPr>
        <w:t>Secondo gli ultimi dati ufficiali Inps elaborati da Manageritalia</w:t>
      </w:r>
      <w:r w:rsidR="00E10D5D">
        <w:rPr>
          <w:rStyle w:val="Rimandonotaapidipagina"/>
          <w:rFonts w:eastAsia="Times New Roman"/>
          <w:iCs/>
          <w:lang w:eastAsia="it-IT"/>
        </w:rPr>
        <w:footnoteReference w:id="4"/>
      </w:r>
      <w:r w:rsidRPr="007D6DE3">
        <w:rPr>
          <w:rFonts w:eastAsia="Times New Roman"/>
          <w:iCs/>
          <w:lang w:eastAsia="it-IT"/>
        </w:rPr>
        <w:t>, l’aumento dei dirigenti privati del 2,6% nel 2023, dopo quello del 3,8% del 2022, è dovuto a un incremento del 5,1% delle donne e dell’1,9% degli uomini. Si conferma quindi la forte e nota rincorsa verso la parità delle donne dirigenti, cresciute del 101,5% dal 2008 al 2023 (-2,8% gli uomini e + 9,6% il totale dirigenti) e oggi pari al 21,9% del totale (21,4% nel 2022, 20,5% nel 2021 e 19,1% nel 2020). Da notare poi (tabella 3) che le donne sono percentualmente molto più presenti nel terziario (25,8%) rispetto all’industria (16,5%).</w:t>
      </w:r>
    </w:p>
    <w:p w14:paraId="6817C13F" w14:textId="55AB635D" w:rsidR="007D6DE3" w:rsidRPr="00AF6910" w:rsidRDefault="007D6DE3" w:rsidP="007D6DE3">
      <w:pPr>
        <w:spacing w:before="240" w:after="240"/>
        <w:rPr>
          <w:rFonts w:eastAsia="Times New Roman"/>
          <w:iCs/>
          <w:lang w:eastAsia="it-IT"/>
        </w:rPr>
      </w:pPr>
      <w:r w:rsidRPr="00AF6910">
        <w:rPr>
          <w:rFonts w:eastAsia="Times New Roman"/>
          <w:iCs/>
          <w:lang w:eastAsia="it-IT"/>
        </w:rPr>
        <w:t xml:space="preserve">I dati concernenti la </w:t>
      </w:r>
      <w:r w:rsidRPr="00A62548">
        <w:rPr>
          <w:rFonts w:eastAsia="Times New Roman"/>
          <w:b/>
          <w:bCs/>
          <w:iCs/>
          <w:lang w:eastAsia="it-IT"/>
        </w:rPr>
        <w:t>composizione di genere nella Pubblica Amministrazione</w:t>
      </w:r>
      <w:r w:rsidRPr="00AF6910">
        <w:rPr>
          <w:rFonts w:eastAsia="Times New Roman"/>
          <w:iCs/>
          <w:lang w:eastAsia="it-IT"/>
        </w:rPr>
        <w:t xml:space="preserve"> registrano trend positivi a livello complessivo ma si continua a scontare un ritardo nella piena parità ai livelli dirigenziali e di vertice. Nonostante, infatti, una marcata presenza di donne (oltre il 55%), con punte superiori al 70% in alcuni settori (istruzione e sanità), dati che pongono il settore pubblico in una migliore posizione rispetto a quello privato, spicca in negativo il calo progressivo delle donne nei ruoli dirigenziali e con esse i parametri delle loro retribuzioni</w:t>
      </w:r>
      <w:r w:rsidR="005A04C6">
        <w:rPr>
          <w:rStyle w:val="Rimandonotaapidipagina"/>
          <w:rFonts w:eastAsia="Times New Roman"/>
          <w:iCs/>
          <w:lang w:val="en-US" w:eastAsia="it-IT"/>
        </w:rPr>
        <w:footnoteReference w:id="5"/>
      </w:r>
      <w:r w:rsidRPr="00AF6910">
        <w:rPr>
          <w:rFonts w:eastAsia="Times New Roman"/>
          <w:iCs/>
          <w:lang w:eastAsia="it-IT"/>
        </w:rPr>
        <w:t>.</w:t>
      </w:r>
    </w:p>
    <w:p w14:paraId="08E1C863" w14:textId="74F127AD" w:rsidR="007D6DE3" w:rsidRPr="00AF6910" w:rsidRDefault="007D6DE3" w:rsidP="007D6DE3">
      <w:pPr>
        <w:spacing w:before="240" w:after="240"/>
        <w:rPr>
          <w:rFonts w:eastAsia="Times New Roman"/>
          <w:iCs/>
          <w:lang w:eastAsia="it-IT"/>
        </w:rPr>
      </w:pPr>
      <w:r w:rsidRPr="00AF6910">
        <w:rPr>
          <w:rFonts w:eastAsia="Times New Roman"/>
          <w:iCs/>
          <w:lang w:eastAsia="it-IT"/>
        </w:rPr>
        <w:lastRenderedPageBreak/>
        <w:t xml:space="preserve">La presenza femminile nel governo degli Enti Pubblici Territoriali a designazione elettiva (comprendenti regioni, province, città metropolitane, comuni, comunità montane e isolane e unioni di comuni) è a tutt’oggi minoritaria, in particolare negli organi di vertice, dove nel 2020 le donne erano solo il 15,7%, pure se in modesto aumento rispetto al 14,4% rilevato per gli anni 2015 e 2017. Le differenze territoriali sono abbastanza ampie, con una presenza più </w:t>
      </w:r>
      <w:r w:rsidR="005C718D" w:rsidRPr="00AF6910">
        <w:rPr>
          <w:rFonts w:eastAsia="Times New Roman"/>
          <w:iCs/>
          <w:lang w:eastAsia="it-IT"/>
        </w:rPr>
        <w:t>elevat</w:t>
      </w:r>
      <w:r w:rsidR="00A62548">
        <w:rPr>
          <w:rFonts w:eastAsia="Times New Roman"/>
          <w:iCs/>
          <w:lang w:eastAsia="it-IT"/>
        </w:rPr>
        <w:t>a</w:t>
      </w:r>
      <w:r w:rsidR="005C718D" w:rsidRPr="00AF6910">
        <w:rPr>
          <w:rFonts w:eastAsia="Times New Roman"/>
          <w:iCs/>
          <w:lang w:eastAsia="it-IT"/>
        </w:rPr>
        <w:t xml:space="preserve">, </w:t>
      </w:r>
      <w:r w:rsidRPr="00AF6910">
        <w:rPr>
          <w:rFonts w:eastAsia="Times New Roman"/>
          <w:iCs/>
          <w:lang w:eastAsia="it-IT"/>
        </w:rPr>
        <w:t xml:space="preserve">seppur sempre </w:t>
      </w:r>
      <w:r w:rsidR="005C718D" w:rsidRPr="00AF6910">
        <w:rPr>
          <w:rFonts w:eastAsia="Times New Roman"/>
          <w:iCs/>
          <w:lang w:eastAsia="it-IT"/>
        </w:rPr>
        <w:t>minoritaria,</w:t>
      </w:r>
      <w:r w:rsidRPr="00AF6910">
        <w:rPr>
          <w:rFonts w:eastAsia="Times New Roman"/>
          <w:iCs/>
          <w:lang w:eastAsia="it-IT"/>
        </w:rPr>
        <w:t xml:space="preserve"> nei vertici degli enti delle regioni del Nord e superiore al 20% in Friuli-Venezia Giulia, Emilia-Romagna e nella provincia autonoma di Bolzano. Con l’eccezione della Basilicata, tutte le regioni del Mezzogiorno presentano livelli di presenza femminile inferiori alla media nazionale. L’incidenza più bassa si osserva in Campania (7,2%) e in Sicilia (9,6%). In Campania, Umbria e Sardegna si rileva inoltre una diminuzione consistente delle donne occupate nel settore pubblico rispetto al 2015. </w:t>
      </w:r>
    </w:p>
    <w:p w14:paraId="58D12E24" w14:textId="4047A3BA" w:rsidR="007D6DE3" w:rsidRPr="00AF6910" w:rsidRDefault="007D6DE3" w:rsidP="007D6DE3">
      <w:pPr>
        <w:spacing w:before="240" w:after="240"/>
        <w:rPr>
          <w:rFonts w:eastAsia="Times New Roman"/>
          <w:iCs/>
          <w:lang w:eastAsia="it-IT"/>
        </w:rPr>
      </w:pPr>
      <w:r w:rsidRPr="00AF6910">
        <w:rPr>
          <w:rFonts w:eastAsia="Times New Roman"/>
          <w:iCs/>
          <w:lang w:eastAsia="it-IT"/>
        </w:rPr>
        <w:t>Guardando alle altre tipologie di organi istituzionali, la presenza femminile risulta più elevata e più eterogenea a livello territoriale rispetto alle posizioni apicali. Per quanto riguarda gli organi di governo diversi dal vertice politico, la presenza femminile è in media di 3 donne su 10 sia negli organi deliberativi sia in quelli esecutivi, mentre supera il 40% nelle figure di raccordo amministrativo. A livello territoriale si osservano differenze molto pronunciate: la percentuale di donne più elevata si rileva in Valle d’Aosta nei vertici amministrativi (58,3%), in Friuli-Venezia Giulia nelle giunte (36,9%)</w:t>
      </w:r>
      <w:r w:rsidR="00187EC4" w:rsidRPr="00AF6910">
        <w:rPr>
          <w:rFonts w:eastAsia="Times New Roman"/>
          <w:iCs/>
          <w:lang w:eastAsia="it-IT"/>
        </w:rPr>
        <w:t xml:space="preserve"> </w:t>
      </w:r>
      <w:r w:rsidRPr="00AF6910">
        <w:rPr>
          <w:rFonts w:eastAsia="Times New Roman"/>
          <w:iCs/>
          <w:lang w:eastAsia="it-IT"/>
        </w:rPr>
        <w:t>e in Sicilia nei Consigli (38,7%). La percentuale più bassa si registra, invece, nei Consigli e nelle giunte del Molise (rispettivamente 24,3% e 22,3%) e nei vertici amministrativi del Veneto (32,3%). La presenza femminile risulta contenuta anche negli organi di controllo, con una media intorno al 30% negli organi di valutazione delle performance e al 25% negli organi di revisione contabile. Anche in questo caso, le differenze territoriali sono molto ampie e dal carattere trasversale. Infatti, negli organi di valutazione la presenza femminile supera o approssima il 50% in Valle d’Aosta e nelle province autonome di Trento e Bolzano, mentre è inferiore al 20% in Umbria e Friuli-Venezia Giulia; negli organi di revisione contabile, invece, si osserva un’incidenza superiore al 40% in Sardegna e Umbria, ma inferiore al 15% nella provincia autonoma di Bolzano e in Puglia</w:t>
      </w:r>
      <w:r w:rsidR="0003128D">
        <w:rPr>
          <w:rStyle w:val="Rimandonotaapidipagina"/>
          <w:rFonts w:eastAsia="Times New Roman"/>
          <w:iCs/>
          <w:lang w:val="en-US" w:eastAsia="it-IT"/>
        </w:rPr>
        <w:footnoteReference w:id="6"/>
      </w:r>
      <w:r w:rsidRPr="00AF6910">
        <w:rPr>
          <w:rFonts w:eastAsia="Times New Roman"/>
          <w:iCs/>
          <w:lang w:eastAsia="it-IT"/>
        </w:rPr>
        <w:t xml:space="preserve">. </w:t>
      </w:r>
    </w:p>
    <w:p w14:paraId="27C99869" w14:textId="77777777" w:rsidR="007D6DE3" w:rsidRPr="00AF6910" w:rsidRDefault="007D6DE3" w:rsidP="007D6DE3">
      <w:pPr>
        <w:spacing w:before="240" w:after="240"/>
        <w:rPr>
          <w:rFonts w:eastAsia="Times New Roman"/>
          <w:iCs/>
          <w:lang w:eastAsia="it-IT"/>
        </w:rPr>
      </w:pPr>
      <w:r w:rsidRPr="00AF6910">
        <w:rPr>
          <w:rFonts w:eastAsia="Times New Roman"/>
          <w:iCs/>
          <w:lang w:eastAsia="it-IT"/>
        </w:rPr>
        <w:t>Se si considera la rappresentanza nelle posizioni apicali, la presenza femminile nella dirigenza cala in modo significativo al crescere della qualifica. Nella dirigenza pubblica le donne rappresentano ancora una minoranza. Gli ultimi dati pubblicati indicano che la quota di donne dirigenti nella PA centrale oscilla tra il 30% e il 35%, con un leggero aumento rispetto al passato, ma ancora distante dalla parità. Quanto alle posizioni di vertice (Segretari generali, Direttori generali, Capi Dipartimento), la percentuale femminile si riduce ulteriormente, spesso restando al di sotto del 20-25%. Negli Enti locali la situazione rispecchia quella nazionale: alta presenza di donne tra i quadri o le categorie intermedie, ma bassa presenza nei ruoli di vertice (per esempio, Segretari/direttori generali di Comuni e Regioni).</w:t>
      </w:r>
    </w:p>
    <w:p w14:paraId="7BE8B1F5" w14:textId="77777777" w:rsidR="007D6DE3" w:rsidRPr="007D6DE3" w:rsidRDefault="007D6DE3" w:rsidP="007D6DE3">
      <w:pPr>
        <w:numPr>
          <w:ilvl w:val="0"/>
          <w:numId w:val="14"/>
        </w:numPr>
        <w:spacing w:before="240" w:after="240"/>
        <w:rPr>
          <w:rFonts w:eastAsia="Times New Roman"/>
          <w:iCs/>
          <w:vanish/>
          <w:lang w:eastAsia="it-IT"/>
        </w:rPr>
      </w:pPr>
    </w:p>
    <w:p w14:paraId="28FFFE97" w14:textId="77777777" w:rsidR="007D6DE3" w:rsidRPr="007D6DE3" w:rsidRDefault="007D6DE3" w:rsidP="007D6DE3">
      <w:pPr>
        <w:numPr>
          <w:ilvl w:val="1"/>
          <w:numId w:val="14"/>
        </w:numPr>
        <w:spacing w:before="240" w:after="240"/>
        <w:rPr>
          <w:rFonts w:eastAsia="Times New Roman"/>
          <w:iCs/>
          <w:vanish/>
          <w:lang w:eastAsia="it-IT"/>
        </w:rPr>
      </w:pPr>
    </w:p>
    <w:p w14:paraId="7FD6A09F" w14:textId="629F73C5" w:rsidR="007D6DE3" w:rsidRPr="00AF6910" w:rsidRDefault="007D6DE3" w:rsidP="007D6DE3">
      <w:pPr>
        <w:spacing w:before="240" w:after="240"/>
        <w:rPr>
          <w:rFonts w:eastAsia="Times New Roman"/>
          <w:iCs/>
          <w:lang w:eastAsia="it-IT"/>
        </w:rPr>
      </w:pPr>
      <w:r w:rsidRPr="00AF6910">
        <w:rPr>
          <w:rFonts w:eastAsia="Times New Roman"/>
          <w:iCs/>
          <w:lang w:eastAsia="it-IT"/>
        </w:rPr>
        <w:t>Sotto il profilo delle retribuzioni l’analisi dei differenziali retributivi di genere nel pubblico impiego mostra un divario più contenuto rispetto al settore privato, ma comunque esistente. L’effetto “soffitto di cristallo” continua ad influire: a fronte di una forte presenza femminile nella base della piramide, le retribuzioni medie femminili risultano inferiori perché minore è l’accesso alle fasce retributive più alte, quelle legate ai ruoli dirigenziali</w:t>
      </w:r>
      <w:r w:rsidR="00701791">
        <w:rPr>
          <w:rStyle w:val="Rimandonotaapidipagina"/>
          <w:rFonts w:eastAsia="Times New Roman"/>
          <w:iCs/>
          <w:lang w:val="en-US" w:eastAsia="it-IT"/>
        </w:rPr>
        <w:footnoteReference w:id="7"/>
      </w:r>
      <w:r w:rsidRPr="00AF6910">
        <w:rPr>
          <w:rFonts w:eastAsia="Times New Roman"/>
          <w:iCs/>
          <w:lang w:eastAsia="it-IT"/>
        </w:rPr>
        <w:t>.</w:t>
      </w:r>
    </w:p>
    <w:p w14:paraId="22CA3994" w14:textId="77777777" w:rsidR="007D6DE3" w:rsidRPr="00AF6910" w:rsidRDefault="007D6DE3" w:rsidP="007D6DE3">
      <w:pPr>
        <w:spacing w:before="240" w:after="240"/>
        <w:rPr>
          <w:rFonts w:eastAsia="Times New Roman"/>
          <w:iCs/>
          <w:lang w:eastAsia="it-IT"/>
        </w:rPr>
      </w:pPr>
      <w:r w:rsidRPr="00AF6910">
        <w:rPr>
          <w:rFonts w:eastAsia="Times New Roman"/>
          <w:iCs/>
          <w:lang w:eastAsia="it-IT"/>
        </w:rPr>
        <w:lastRenderedPageBreak/>
        <w:t>Sebbene con risultati parziali, negli ultimi due decenni si è assistito all’attivazione di alcune iniziative e strumenti per la promozione della parità di genere nella PA.</w:t>
      </w:r>
    </w:p>
    <w:p w14:paraId="430FB809" w14:textId="77777777" w:rsidR="007D6DE3" w:rsidRPr="007D6DE3" w:rsidRDefault="007D6DE3" w:rsidP="007D6DE3">
      <w:pPr>
        <w:spacing w:before="240" w:after="240"/>
        <w:rPr>
          <w:rFonts w:eastAsia="Times New Roman"/>
          <w:iCs/>
          <w:lang w:eastAsia="it-IT"/>
        </w:rPr>
      </w:pPr>
      <w:r w:rsidRPr="00AF6910">
        <w:rPr>
          <w:rFonts w:eastAsia="Times New Roman"/>
          <w:iCs/>
          <w:lang w:eastAsia="it-IT"/>
        </w:rPr>
        <w:t xml:space="preserve">Le amministrazioni pubbliche centrali e locali sono tenute a predisporre Piani triennali di azioni positive (ai sensi del </w:t>
      </w:r>
      <w:proofErr w:type="spellStart"/>
      <w:r w:rsidRPr="00AF6910">
        <w:rPr>
          <w:rFonts w:eastAsia="Times New Roman"/>
          <w:iCs/>
          <w:lang w:eastAsia="it-IT"/>
        </w:rPr>
        <w:t>D.Lgs.</w:t>
      </w:r>
      <w:proofErr w:type="spellEnd"/>
      <w:r w:rsidRPr="00AF6910">
        <w:rPr>
          <w:rFonts w:eastAsia="Times New Roman"/>
          <w:iCs/>
          <w:lang w:eastAsia="it-IT"/>
        </w:rPr>
        <w:t xml:space="preserve"> 198/2006 “Codice delle Pari Opportunità”) per favorire l’uguaglianza sostanziale sul lavoro, la conciliazione vita-lavoro e l’eliminazione delle discriminazioni. Questi piani prevedono misure per incentivare e rendere effettiva la flessibilità oraria attraverso strumenti quali part-time, telelavoro o smart working, ma puntando anche sulla sensibilizzazione attraverso formazione e aggiornamento professionale. </w:t>
      </w:r>
    </w:p>
    <w:p w14:paraId="4D13FFDE" w14:textId="77777777" w:rsidR="007D6DE3" w:rsidRPr="00AF6910" w:rsidRDefault="007D6DE3" w:rsidP="007D6DE3">
      <w:pPr>
        <w:spacing w:before="240" w:after="240"/>
        <w:rPr>
          <w:rFonts w:eastAsia="Times New Roman"/>
          <w:iCs/>
          <w:lang w:eastAsia="it-IT"/>
        </w:rPr>
      </w:pPr>
      <w:r w:rsidRPr="00AF6910">
        <w:rPr>
          <w:rFonts w:eastAsia="Times New Roman"/>
          <w:iCs/>
          <w:lang w:eastAsia="it-IT"/>
        </w:rPr>
        <w:t>All’interno delle amministrazioni pubbliche, i Comitati Unici di Garanzia (CUG) agiscono come organi di monitoraggio, consulenza e proposta verso la dirigenza e hanno il compito di promuovere pari opportunità, benessere organizzativo e contrastare ogni forma di discriminazione, compresa quella di genere, all’interno degli enti pubblici.</w:t>
      </w:r>
    </w:p>
    <w:p w14:paraId="134BD63F" w14:textId="77777777" w:rsidR="007D6DE3" w:rsidRPr="00AF6910" w:rsidRDefault="007D6DE3" w:rsidP="007D6DE3">
      <w:pPr>
        <w:spacing w:before="240" w:after="240"/>
        <w:rPr>
          <w:rFonts w:eastAsia="Times New Roman"/>
          <w:iCs/>
          <w:lang w:eastAsia="it-IT"/>
        </w:rPr>
      </w:pPr>
      <w:r w:rsidRPr="00AF6910">
        <w:rPr>
          <w:rFonts w:eastAsia="Times New Roman"/>
          <w:iCs/>
          <w:lang w:eastAsia="it-IT"/>
        </w:rPr>
        <w:t>Agli elementi precedenti si aggiungono i confronti sulla condizione delle donne in Italia rispetto agli altri paesi membri dell’Unione Europea e al contesto globale.</w:t>
      </w:r>
    </w:p>
    <w:p w14:paraId="5F66E642" w14:textId="77777777" w:rsidR="007D6DE3" w:rsidRPr="00AF6910" w:rsidRDefault="007D6DE3" w:rsidP="007D6DE3">
      <w:pPr>
        <w:spacing w:before="240" w:after="240"/>
        <w:rPr>
          <w:rFonts w:eastAsia="Times New Roman"/>
          <w:iCs/>
          <w:lang w:eastAsia="it-IT"/>
        </w:rPr>
      </w:pPr>
      <w:r w:rsidRPr="00AF6910">
        <w:rPr>
          <w:rFonts w:eastAsia="Times New Roman"/>
          <w:iCs/>
          <w:lang w:eastAsia="it-IT"/>
        </w:rPr>
        <w:t>L’indice 2023 sull’uguaglianza di genere dell’Unione europea (Gender Equality Index) viene elaborato dall’Istituto europeo per la parità di genere (EIGE) quale strumento di misurazione dell’equilibrio dei sessi con riferimento a una serie di parametri (l’indice utilizza una scala da 1 a 100 dove 1 rappresenta la disuguaglianza totale e 100 l’uguaglianza totale). Nell’indice 2023 gli Stati membri dell’UE hanno ottenuto un risultato medio di 70,2 punti su 100, con un progresso rispetto dall’anno precedente del 2,33% che costituisce il più alto incremento annuale mai raggiunto dall’indice. Nell’indice 2023 l’Italia si è collocata al 13° posto tra gli Stati membri UE, era al 14° nell’indice 2022.</w:t>
      </w:r>
    </w:p>
    <w:p w14:paraId="099C54BC" w14:textId="1760FD99" w:rsidR="007D6DE3" w:rsidRPr="00AF6910" w:rsidRDefault="007D6DE3" w:rsidP="007D6DE3">
      <w:pPr>
        <w:spacing w:before="240" w:after="240"/>
        <w:rPr>
          <w:rFonts w:eastAsia="Times New Roman"/>
          <w:iCs/>
          <w:lang w:eastAsia="it-IT"/>
        </w:rPr>
      </w:pPr>
      <w:r w:rsidRPr="00AF6910">
        <w:rPr>
          <w:rFonts w:eastAsia="Times New Roman"/>
          <w:iCs/>
          <w:lang w:eastAsia="it-IT"/>
        </w:rPr>
        <w:t>Riguardo al tasso di occupazione femminile, i dati EUROSTAT relative al quarto trimestre 2022 collocano l’Italia come lo Stato membro dell’UE con il più basso tasso di occupazione delle donne tra i 20 e i 64 anni (55% contro il 69,3 %). In base ai dati Istat, nella stessa fascia di età, al terzo trimestre 2023, il tasso di occupazione femminile risulta essere pari al 56,1 %</w:t>
      </w:r>
      <w:r w:rsidR="00187EC4">
        <w:rPr>
          <w:rStyle w:val="Rimandonotaapidipagina"/>
          <w:rFonts w:eastAsia="Times New Roman"/>
          <w:iCs/>
          <w:lang w:val="en-US" w:eastAsia="it-IT"/>
        </w:rPr>
        <w:footnoteReference w:id="8"/>
      </w:r>
      <w:r w:rsidRPr="00AF6910">
        <w:rPr>
          <w:rFonts w:eastAsia="Times New Roman"/>
          <w:iCs/>
          <w:lang w:eastAsia="it-IT"/>
        </w:rPr>
        <w:t>.</w:t>
      </w:r>
    </w:p>
    <w:p w14:paraId="2E2F99F6" w14:textId="628C0F6E" w:rsidR="007D6DE3" w:rsidRPr="00AF6910" w:rsidRDefault="007D6DE3" w:rsidP="007D6DE3">
      <w:pPr>
        <w:spacing w:before="240" w:after="240"/>
        <w:rPr>
          <w:rFonts w:eastAsia="Times New Roman"/>
          <w:iCs/>
          <w:lang w:eastAsia="it-IT"/>
        </w:rPr>
      </w:pPr>
      <w:r w:rsidRPr="00AF6910">
        <w:rPr>
          <w:rFonts w:eastAsia="Times New Roman"/>
          <w:iCs/>
          <w:lang w:eastAsia="it-IT"/>
        </w:rPr>
        <w:t xml:space="preserve">In termini di </w:t>
      </w:r>
      <w:r w:rsidRPr="00A62548">
        <w:rPr>
          <w:rFonts w:eastAsia="Times New Roman"/>
          <w:b/>
          <w:bCs/>
          <w:iCs/>
          <w:lang w:eastAsia="it-IT"/>
        </w:rPr>
        <w:t>imprenditoria femminile</w:t>
      </w:r>
      <w:r w:rsidRPr="00AF6910">
        <w:rPr>
          <w:rFonts w:eastAsia="Times New Roman"/>
          <w:iCs/>
          <w:lang w:eastAsia="it-IT"/>
        </w:rPr>
        <w:t xml:space="preserve">, </w:t>
      </w:r>
      <w:r w:rsidR="00A62548">
        <w:rPr>
          <w:rFonts w:eastAsia="Times New Roman"/>
          <w:iCs/>
          <w:lang w:eastAsia="it-IT"/>
        </w:rPr>
        <w:t>s</w:t>
      </w:r>
      <w:r w:rsidR="00A62548" w:rsidRPr="00A62548">
        <w:rPr>
          <w:rFonts w:eastAsia="Times New Roman"/>
          <w:iCs/>
          <w:lang w:eastAsia="it-IT"/>
        </w:rPr>
        <w:t xml:space="preserve">econdo i dati recenti di Unioncamere, nel 2023 le imprese femminili in Italia ammontano a circa 1 milione e 325 mila, rappresentando il 22,2% del totale del tessuto produttivo nazionale </w:t>
      </w:r>
      <w:r w:rsidR="00A62548">
        <w:rPr>
          <w:rFonts w:eastAsia="Times New Roman"/>
          <w:iCs/>
          <w:lang w:eastAsia="it-IT"/>
        </w:rPr>
        <w:t>ma in</w:t>
      </w:r>
      <w:r w:rsidR="00A62548" w:rsidRPr="00A62548">
        <w:rPr>
          <w:rFonts w:eastAsia="Times New Roman"/>
          <w:iCs/>
          <w:lang w:eastAsia="it-IT"/>
        </w:rPr>
        <w:t xml:space="preserve"> diminuzione (-0,9%) rispetto all'anno precedente</w:t>
      </w:r>
      <w:r w:rsidR="00A62548">
        <w:rPr>
          <w:rStyle w:val="Rimandonotaapidipagina"/>
          <w:rFonts w:eastAsia="Times New Roman"/>
          <w:iCs/>
          <w:lang w:eastAsia="it-IT"/>
        </w:rPr>
        <w:t xml:space="preserve"> </w:t>
      </w:r>
      <w:r w:rsidR="00A62548">
        <w:rPr>
          <w:rStyle w:val="Rimandonotaapidipagina"/>
          <w:rFonts w:eastAsia="Times New Roman"/>
          <w:iCs/>
          <w:lang w:eastAsia="it-IT"/>
        </w:rPr>
        <w:footnoteReference w:id="9"/>
      </w:r>
      <w:r w:rsidR="00A62548" w:rsidRPr="00A62548">
        <w:rPr>
          <w:rFonts w:eastAsia="Times New Roman"/>
          <w:iCs/>
          <w:lang w:eastAsia="it-IT"/>
        </w:rPr>
        <w:t>. </w:t>
      </w:r>
      <w:r w:rsidR="00A62548">
        <w:rPr>
          <w:rFonts w:eastAsia="Times New Roman"/>
          <w:iCs/>
          <w:lang w:eastAsia="it-IT"/>
        </w:rPr>
        <w:t>Questo dato</w:t>
      </w:r>
      <w:r w:rsidR="00A62548" w:rsidRPr="00AF6910">
        <w:rPr>
          <w:rFonts w:eastAsia="Times New Roman"/>
          <w:iCs/>
          <w:lang w:eastAsia="it-IT"/>
        </w:rPr>
        <w:t xml:space="preserve"> </w:t>
      </w:r>
      <w:r w:rsidRPr="00AF6910">
        <w:rPr>
          <w:rFonts w:eastAsia="Times New Roman"/>
          <w:iCs/>
          <w:lang w:eastAsia="it-IT"/>
        </w:rPr>
        <w:t xml:space="preserve">colloca </w:t>
      </w:r>
      <w:r w:rsidR="00A62548">
        <w:rPr>
          <w:rFonts w:eastAsia="Times New Roman"/>
          <w:iCs/>
          <w:lang w:eastAsia="it-IT"/>
        </w:rPr>
        <w:t xml:space="preserve">l’Italia </w:t>
      </w:r>
      <w:r w:rsidRPr="00AF6910">
        <w:rPr>
          <w:rFonts w:eastAsia="Times New Roman"/>
          <w:iCs/>
          <w:lang w:eastAsia="it-IT"/>
        </w:rPr>
        <w:t xml:space="preserve">al 79esimo posto mondiale su 146 paesi nelle misurazioni del Gender Gap Index ranking del World </w:t>
      </w:r>
      <w:proofErr w:type="spellStart"/>
      <w:r w:rsidRPr="00AF6910">
        <w:rPr>
          <w:rFonts w:eastAsia="Times New Roman"/>
          <w:iCs/>
          <w:lang w:eastAsia="it-IT"/>
        </w:rPr>
        <w:t>Economic</w:t>
      </w:r>
      <w:proofErr w:type="spellEnd"/>
      <w:r w:rsidRPr="00AF6910">
        <w:rPr>
          <w:rFonts w:eastAsia="Times New Roman"/>
          <w:iCs/>
          <w:lang w:eastAsia="it-IT"/>
        </w:rPr>
        <w:t xml:space="preserve"> Forum</w:t>
      </w:r>
      <w:r w:rsidR="00501FB7">
        <w:rPr>
          <w:rStyle w:val="Rimandonotaapidipagina"/>
          <w:rFonts w:eastAsia="Times New Roman"/>
          <w:iCs/>
          <w:lang w:val="en-US" w:eastAsia="it-IT"/>
        </w:rPr>
        <w:footnoteReference w:id="10"/>
      </w:r>
      <w:r w:rsidRPr="00AF6910">
        <w:rPr>
          <w:rFonts w:eastAsia="Times New Roman"/>
          <w:iCs/>
          <w:lang w:eastAsia="it-IT"/>
        </w:rPr>
        <w:t xml:space="preserve">. </w:t>
      </w:r>
    </w:p>
    <w:p w14:paraId="0180FA0E" w14:textId="3C7141C0" w:rsidR="007D6DE3" w:rsidRPr="00AF6910" w:rsidRDefault="007D6DE3" w:rsidP="007D6DE3">
      <w:pPr>
        <w:spacing w:before="240" w:after="240"/>
        <w:rPr>
          <w:rFonts w:eastAsia="Times New Roman"/>
          <w:iCs/>
          <w:lang w:eastAsia="it-IT"/>
        </w:rPr>
      </w:pPr>
      <w:r w:rsidRPr="00AF6910">
        <w:rPr>
          <w:rFonts w:eastAsia="Times New Roman"/>
          <w:iCs/>
          <w:lang w:eastAsia="it-IT"/>
        </w:rPr>
        <w:t>Il PN</w:t>
      </w:r>
      <w:r w:rsidR="0034641D" w:rsidRPr="00AF6910">
        <w:rPr>
          <w:rFonts w:eastAsia="Times New Roman"/>
          <w:iCs/>
          <w:lang w:eastAsia="it-IT"/>
        </w:rPr>
        <w:t>R</w:t>
      </w:r>
      <w:r w:rsidRPr="00AF6910">
        <w:rPr>
          <w:rFonts w:eastAsia="Times New Roman"/>
          <w:iCs/>
          <w:lang w:eastAsia="it-IT"/>
        </w:rPr>
        <w:t>R (Piano Nazionale di Ripresa e Resilienza) prevede, tra i vari obiettivi trasversali, il potenziamento dell’occupazione femminile promuovendo una maggiore partecipazione delle donne al mercato del lavoro e il miglioramento della parità di genere attraverso la riduzione delle asimmetrie e il monitoraggio degli effetti di riforme e investimenti in termini di promozione delle pari opportunità di genere.</w:t>
      </w:r>
    </w:p>
    <w:p w14:paraId="4C05A71A" w14:textId="127C12AC" w:rsidR="007D6DE3" w:rsidRPr="00AF6910" w:rsidRDefault="007D6DE3" w:rsidP="007D6DE3">
      <w:pPr>
        <w:spacing w:before="240" w:after="240"/>
        <w:rPr>
          <w:rFonts w:eastAsia="Times New Roman"/>
          <w:iCs/>
          <w:lang w:eastAsia="it-IT"/>
        </w:rPr>
      </w:pPr>
      <w:r w:rsidRPr="00AF6910">
        <w:rPr>
          <w:rFonts w:eastAsia="Times New Roman"/>
          <w:iCs/>
          <w:lang w:eastAsia="it-IT"/>
        </w:rPr>
        <w:lastRenderedPageBreak/>
        <w:t xml:space="preserve">Quanto all’allocazione delle risorse, la </w:t>
      </w:r>
      <w:r w:rsidR="00726CFC" w:rsidRPr="00AF6910">
        <w:rPr>
          <w:rFonts w:eastAsia="Times New Roman"/>
          <w:iCs/>
          <w:lang w:eastAsia="it-IT"/>
        </w:rPr>
        <w:t>legislazione vigente</w:t>
      </w:r>
      <w:r w:rsidR="00726CFC">
        <w:rPr>
          <w:rStyle w:val="Rimandonotaapidipagina"/>
          <w:rFonts w:eastAsia="Times New Roman"/>
          <w:iCs/>
          <w:lang w:val="en-US" w:eastAsia="it-IT"/>
        </w:rPr>
        <w:footnoteReference w:id="11"/>
      </w:r>
      <w:r w:rsidR="00726CFC" w:rsidRPr="00AF6910">
        <w:rPr>
          <w:rFonts w:eastAsia="Times New Roman"/>
          <w:iCs/>
          <w:lang w:eastAsia="it-IT"/>
        </w:rPr>
        <w:t xml:space="preserve"> </w:t>
      </w:r>
      <w:r w:rsidRPr="00AF6910">
        <w:rPr>
          <w:rFonts w:eastAsia="Times New Roman"/>
          <w:iCs/>
          <w:lang w:eastAsia="it-IT"/>
        </w:rPr>
        <w:t>ha previsto, a partire dalla legge di bilancio per il 2024, la presentazione al Parlamento di un documento informativo che mostri una riclassificazione del bilancio dello Stato in sede di programmazione della spesa, intervento utile a evidenziare gli interventi che promuovono l’uguaglianza di genere e le spese ambientali; tale rappresentazione deve, inoltre, essere coerente con gli obiettivi di sviluppo sostenibile dell’Agenda 2030. Per la prima volta dunque è diventato possibile analizzare la spesa pubblica secondo una prospettiva di genere sia in termini di previsione della spesa sia in termini di rendicontazione già presente dal 2016.</w:t>
      </w:r>
    </w:p>
    <w:p w14:paraId="0FE87D3F" w14:textId="34240BBE" w:rsidR="007D6DE3" w:rsidRPr="00AF6910" w:rsidRDefault="007D6DE3" w:rsidP="007D6DE3">
      <w:pPr>
        <w:spacing w:before="240" w:after="240"/>
        <w:rPr>
          <w:rFonts w:eastAsia="Times New Roman"/>
          <w:iCs/>
          <w:lang w:eastAsia="it-IT"/>
        </w:rPr>
      </w:pPr>
      <w:r w:rsidRPr="00AF6910">
        <w:rPr>
          <w:rFonts w:eastAsia="Times New Roman"/>
          <w:iCs/>
          <w:lang w:eastAsia="it-IT"/>
        </w:rPr>
        <w:t>Secondo quanto previsto</w:t>
      </w:r>
      <w:r w:rsidR="00726CFC" w:rsidRPr="00AF6910">
        <w:rPr>
          <w:rFonts w:eastAsia="Times New Roman"/>
          <w:iCs/>
          <w:lang w:eastAsia="it-IT"/>
        </w:rPr>
        <w:t xml:space="preserve"> dalla legislazione vigente</w:t>
      </w:r>
      <w:r w:rsidR="00726CFC">
        <w:rPr>
          <w:rStyle w:val="Rimandonotaapidipagina"/>
          <w:rFonts w:eastAsia="Times New Roman"/>
          <w:iCs/>
          <w:lang w:val="en-US" w:eastAsia="it-IT"/>
        </w:rPr>
        <w:footnoteReference w:id="12"/>
      </w:r>
      <w:r w:rsidRPr="00AF6910">
        <w:rPr>
          <w:rFonts w:eastAsia="Times New Roman"/>
          <w:iCs/>
          <w:lang w:eastAsia="it-IT"/>
        </w:rPr>
        <w:t>, il Ministro dell’economia e delle finanze trasmette alle Camere, entro 30 giorni dalla presentazione del disegno di legge di bilancio, appositi allegati conoscitivi che illustrano il prospetto delle spese relative alla promozione della parità di genere</w:t>
      </w:r>
      <w:r w:rsidR="002E366A">
        <w:rPr>
          <w:rStyle w:val="Rimandonotaapidipagina"/>
          <w:rFonts w:eastAsia="Times New Roman"/>
          <w:iCs/>
          <w:lang w:val="en-US" w:eastAsia="it-IT"/>
        </w:rPr>
        <w:footnoteReference w:id="13"/>
      </w:r>
      <w:r w:rsidRPr="00AF6910">
        <w:rPr>
          <w:rFonts w:eastAsia="Times New Roman"/>
          <w:iCs/>
          <w:lang w:eastAsia="it-IT"/>
        </w:rPr>
        <w:t>.</w:t>
      </w:r>
    </w:p>
    <w:p w14:paraId="696BE398" w14:textId="4EC9C6B0" w:rsidR="007D6DE3" w:rsidRPr="00AF6910" w:rsidRDefault="007D6DE3" w:rsidP="007D6DE3">
      <w:pPr>
        <w:spacing w:before="240" w:after="240"/>
        <w:rPr>
          <w:rFonts w:eastAsia="Times New Roman"/>
          <w:iCs/>
          <w:lang w:eastAsia="it-IT"/>
        </w:rPr>
      </w:pPr>
      <w:r w:rsidRPr="00AF6910">
        <w:rPr>
          <w:rFonts w:eastAsia="Times New Roman"/>
          <w:iCs/>
          <w:lang w:eastAsia="it-IT"/>
        </w:rPr>
        <w:t>La base dati utilizzata</w:t>
      </w:r>
      <w:r w:rsidR="00453339" w:rsidRPr="00AF6910">
        <w:rPr>
          <w:rFonts w:eastAsia="Times New Roman"/>
          <w:iCs/>
          <w:lang w:eastAsia="it-IT"/>
        </w:rPr>
        <w:t>,</w:t>
      </w:r>
      <w:r w:rsidRPr="00AF6910">
        <w:rPr>
          <w:rFonts w:eastAsia="Times New Roman"/>
          <w:iCs/>
          <w:lang w:eastAsia="it-IT"/>
        </w:rPr>
        <w:t xml:space="preserve"> per sviluppare quanto previsto dalla </w:t>
      </w:r>
      <w:r w:rsidR="00453339" w:rsidRPr="00AF6910">
        <w:rPr>
          <w:rFonts w:eastAsia="Times New Roman"/>
          <w:iCs/>
          <w:lang w:eastAsia="it-IT"/>
        </w:rPr>
        <w:t>legislazione vigente sopra citata,</w:t>
      </w:r>
      <w:r w:rsidRPr="00AF6910">
        <w:rPr>
          <w:rFonts w:eastAsia="Times New Roman"/>
          <w:iCs/>
          <w:lang w:eastAsia="it-IT"/>
        </w:rPr>
        <w:t xml:space="preserve"> è organizzata secondo la struttura anagrafica del bilancio dello Stato, a cui vengono aggiunte le codifiche del bilancio di genere e i 5 pilastri dello sviluppo sostenibile.</w:t>
      </w:r>
    </w:p>
    <w:p w14:paraId="6B073AAC" w14:textId="77777777" w:rsidR="007D6DE3" w:rsidRPr="00AF6910" w:rsidRDefault="007D6DE3" w:rsidP="007D6DE3">
      <w:pPr>
        <w:spacing w:before="240" w:after="240"/>
        <w:rPr>
          <w:rFonts w:eastAsia="Times New Roman"/>
          <w:iCs/>
          <w:lang w:eastAsia="it-IT"/>
        </w:rPr>
      </w:pPr>
      <w:r w:rsidRPr="00AF6910">
        <w:rPr>
          <w:rFonts w:eastAsia="Times New Roman"/>
          <w:iCs/>
          <w:lang w:eastAsia="it-IT"/>
        </w:rPr>
        <w:t>La declinazione dei 5 pilastri in sub-obiettivi (21, con 90 sub target) non consente, tuttavia, un immediato riscontro con le unità gestionali di dettaglio del bilancio dello Stato e lo stesso vale per le codifiche del bilancio di genere. Questo ha portato ad una riduzione della base dati complessiva considerata e all’esclusione di alcune spese dall’esercizio di riclassificazione.</w:t>
      </w:r>
    </w:p>
    <w:p w14:paraId="5C6D9D23" w14:textId="1567140D" w:rsidR="007D6DE3" w:rsidRPr="00AF6910" w:rsidRDefault="007D6DE3" w:rsidP="007D6DE3">
      <w:pPr>
        <w:spacing w:before="240" w:after="240"/>
        <w:rPr>
          <w:rFonts w:eastAsia="Times New Roman"/>
          <w:iCs/>
          <w:lang w:eastAsia="it-IT"/>
        </w:rPr>
      </w:pPr>
      <w:r w:rsidRPr="00AF6910">
        <w:rPr>
          <w:rFonts w:eastAsia="Times New Roman"/>
          <w:iCs/>
          <w:lang w:eastAsia="it-IT"/>
        </w:rPr>
        <w:t>Si tratta, nello specifico, delle spese per il personale e di alcune categorie economiche di spese che, nelle 4 codifiche del bilancio di genere, sono considerate a priori come neutrali: gli oneri relativi al debito pubblico (rimborso delle passività finanziarie e interessi passivi), i trasferimenti al bilancio europeo (risorse proprie Unione Europea), le poste correttive e compensative e -infine- le acquisizioni di attività finanziarie.</w:t>
      </w:r>
    </w:p>
    <w:p w14:paraId="6EA24231" w14:textId="77777777" w:rsidR="00ED01BE" w:rsidRPr="00ED01BE" w:rsidRDefault="00ED01BE" w:rsidP="00ED01BE">
      <w:pPr>
        <w:spacing w:before="240" w:after="240"/>
        <w:rPr>
          <w:rFonts w:eastAsia="Times New Roman"/>
          <w:iCs/>
          <w:lang w:eastAsia="it-IT"/>
        </w:rPr>
      </w:pPr>
      <w:r w:rsidRPr="00ED01BE">
        <w:rPr>
          <w:rFonts w:eastAsia="Times New Roman"/>
          <w:iCs/>
          <w:lang w:eastAsia="it-IT"/>
        </w:rPr>
        <w:t>Nel 2023, su un bilancio dello Stato pari a 1.032,3 miliardi di euro, il 73,06% risulta neutrale rispetto al genere. Solo il 16,09% (166,1 miliardi) della spesa del bilancio dello Stato rientra nella categoria delle spese “sensibili al genere”, mentre la spesa considerata come specifica e diretta a ridurre le disuguaglianze di genere è pari allo 0,42% del totale (4,31 miliardi).</w:t>
      </w:r>
    </w:p>
    <w:p w14:paraId="765138F0" w14:textId="61D25500" w:rsidR="007D6DE3" w:rsidRPr="00AF6910" w:rsidRDefault="00ED01BE" w:rsidP="00ED01BE">
      <w:pPr>
        <w:spacing w:before="240" w:after="240"/>
        <w:rPr>
          <w:rFonts w:eastAsia="Times New Roman"/>
          <w:iCs/>
          <w:lang w:eastAsia="it-IT"/>
        </w:rPr>
      </w:pPr>
      <w:r w:rsidRPr="00ED01BE">
        <w:rPr>
          <w:rFonts w:eastAsia="Times New Roman"/>
          <w:iCs/>
          <w:lang w:eastAsia="it-IT"/>
        </w:rPr>
        <w:t>Una percentuale del 10,43% della spesa viene classificata invece nella quarta categoria, cioè come spesa che potrebbe essere classificata dalle amministrazioni come sensibile, in modo da ridurre l’entità delle spese neutrali.</w:t>
      </w:r>
      <w:r w:rsidR="00453339">
        <w:rPr>
          <w:rStyle w:val="Rimandonotaapidipagina"/>
          <w:rFonts w:eastAsia="Times New Roman"/>
          <w:iCs/>
          <w:lang w:val="en-US" w:eastAsia="it-IT"/>
        </w:rPr>
        <w:footnoteReference w:id="14"/>
      </w:r>
      <w:r w:rsidR="007D6DE3" w:rsidRPr="00AF6910">
        <w:rPr>
          <w:rFonts w:eastAsia="Times New Roman"/>
          <w:iCs/>
          <w:lang w:eastAsia="it-IT"/>
        </w:rPr>
        <w:t xml:space="preserve">. </w:t>
      </w:r>
    </w:p>
    <w:p w14:paraId="4F11B6E1" w14:textId="66EFE607" w:rsidR="007D6DE3" w:rsidRPr="00AF6910" w:rsidRDefault="007D6DE3" w:rsidP="007D6DE3">
      <w:pPr>
        <w:spacing w:before="240" w:after="240"/>
        <w:rPr>
          <w:rFonts w:eastAsia="Times New Roman"/>
          <w:iCs/>
          <w:lang w:eastAsia="it-IT"/>
        </w:rPr>
      </w:pPr>
      <w:r w:rsidRPr="00AF6910">
        <w:rPr>
          <w:rFonts w:eastAsia="Times New Roman"/>
          <w:iCs/>
          <w:lang w:eastAsia="it-IT"/>
        </w:rPr>
        <w:t xml:space="preserve">Considerata l’esiguità delle risorse identificate a favore della riduzione delle diseguaglianze di genere e la difficoltà nelle analisi relative alla classificazione preventiva e consuntiva delle spese di Bilancio in chiave di prospettive di genere, lo stesso Ministero dell’economia e delle Finanze insieme alla </w:t>
      </w:r>
      <w:r w:rsidRPr="00AF6910">
        <w:rPr>
          <w:rFonts w:eastAsia="Times New Roman"/>
          <w:iCs/>
          <w:lang w:eastAsia="it-IT"/>
        </w:rPr>
        <w:lastRenderedPageBreak/>
        <w:t>Ragioneria dello Stato auspicano un confronto istituzionale e il maggior impegno da parte delle Amministrazioni per migliorare la classificazione contabile e utilizzare i dati a scopo decisionale</w:t>
      </w:r>
      <w:r w:rsidR="00517A06">
        <w:rPr>
          <w:rStyle w:val="Rimandonotaapidipagina"/>
          <w:rFonts w:eastAsia="Times New Roman"/>
          <w:iCs/>
          <w:lang w:val="en-US" w:eastAsia="it-IT"/>
        </w:rPr>
        <w:footnoteReference w:id="15"/>
      </w:r>
      <w:r w:rsidRPr="00AF6910">
        <w:rPr>
          <w:rFonts w:eastAsia="Times New Roman"/>
          <w:iCs/>
          <w:lang w:eastAsia="it-IT"/>
        </w:rPr>
        <w:t>.</w:t>
      </w:r>
    </w:p>
    <w:p w14:paraId="36AE022C" w14:textId="012FB542" w:rsidR="007D6DE3" w:rsidRPr="007D6DE3" w:rsidRDefault="007D6DE3" w:rsidP="007D6DE3">
      <w:pPr>
        <w:spacing w:before="240" w:after="240"/>
        <w:rPr>
          <w:rFonts w:eastAsia="Times New Roman"/>
          <w:iCs/>
          <w:lang w:eastAsia="it-IT"/>
        </w:rPr>
      </w:pPr>
      <w:r w:rsidRPr="00AF6910">
        <w:rPr>
          <w:rFonts w:eastAsia="Times New Roman"/>
          <w:iCs/>
          <w:lang w:eastAsia="it-IT"/>
        </w:rPr>
        <w:t xml:space="preserve">A questo proposito oltre agli stanziamenti di fondi per la creazione di imprese femminili previsti nell’ambito del PNRR, sono state introdotte norme di metodo per garantire la partecipazione femminile e il rispetto del Lavoro femminile in sede di appalto di lavori pubblici. </w:t>
      </w:r>
      <w:r w:rsidR="00C9123B" w:rsidRPr="00AF6910">
        <w:rPr>
          <w:rFonts w:eastAsia="Times New Roman"/>
          <w:iCs/>
          <w:lang w:eastAsia="it-IT"/>
        </w:rPr>
        <w:t>La legislazione vig</w:t>
      </w:r>
      <w:r w:rsidR="001A40EA">
        <w:rPr>
          <w:rFonts w:eastAsia="Times New Roman"/>
          <w:iCs/>
          <w:lang w:eastAsia="it-IT"/>
        </w:rPr>
        <w:t>e</w:t>
      </w:r>
      <w:r w:rsidR="00C9123B" w:rsidRPr="00AF6910">
        <w:rPr>
          <w:rFonts w:eastAsia="Times New Roman"/>
          <w:iCs/>
          <w:lang w:eastAsia="it-IT"/>
        </w:rPr>
        <w:t>nte</w:t>
      </w:r>
      <w:r w:rsidR="00C9123B">
        <w:rPr>
          <w:rStyle w:val="Rimandonotaapidipagina"/>
          <w:rFonts w:eastAsia="Times New Roman"/>
          <w:iCs/>
          <w:lang w:val="en-US" w:eastAsia="it-IT"/>
        </w:rPr>
        <w:footnoteReference w:id="16"/>
      </w:r>
      <w:r w:rsidR="00966E66" w:rsidRPr="00AF6910">
        <w:rPr>
          <w:rFonts w:eastAsia="Times New Roman"/>
          <w:iCs/>
          <w:lang w:eastAsia="it-IT"/>
        </w:rPr>
        <w:t xml:space="preserve"> </w:t>
      </w:r>
      <w:r w:rsidRPr="00AF6910">
        <w:rPr>
          <w:rFonts w:eastAsia="Times New Roman"/>
          <w:iCs/>
          <w:lang w:eastAsia="it-IT"/>
        </w:rPr>
        <w:t xml:space="preserve">impone alle stazioni appaltanti di prevedere nei bandi specifiche clausole legate all’inserimento, come requisiti necessari e come ulteriori requisiti premiali dell’offerta, di criteri che promuovono l’imprenditoria giovanile, l’inclusione lavorativa di disabili, la parità di genere e l’assunzione di giovani e donne (Clausola di priorità). </w:t>
      </w:r>
    </w:p>
    <w:p w14:paraId="4C963471" w14:textId="156E8505" w:rsidR="007D6DE3" w:rsidRPr="00AF6910" w:rsidRDefault="007D6DE3" w:rsidP="007D6DE3">
      <w:pPr>
        <w:spacing w:before="240" w:after="240"/>
        <w:rPr>
          <w:rFonts w:eastAsia="Times New Roman"/>
          <w:iCs/>
          <w:lang w:eastAsia="it-IT"/>
        </w:rPr>
      </w:pPr>
      <w:r w:rsidRPr="00AF6910">
        <w:rPr>
          <w:rFonts w:eastAsia="Times New Roman"/>
          <w:iCs/>
          <w:lang w:eastAsia="it-IT"/>
        </w:rPr>
        <w:t>Nel luglio 2021 l’Italia ha predisposto, tramite il ministero per le Pari Opportunità, la Strategia Nazionale sulla Parità di Genere 2021-2025, ispirata alla Gender Equality Strategy 2020-2025 della UE, iniziativa coincisa con l’adozione nello stesso mese del Piano Nazionale di Ripresa e Resilienza (PNRR), finanziato con i fondi europei del programma Next Generation EU</w:t>
      </w:r>
      <w:r w:rsidR="00BC5ABC">
        <w:rPr>
          <w:rStyle w:val="Rimandonotaapidipagina"/>
          <w:rFonts w:eastAsia="Times New Roman"/>
          <w:iCs/>
          <w:lang w:val="en-US" w:eastAsia="it-IT"/>
        </w:rPr>
        <w:footnoteReference w:id="17"/>
      </w:r>
      <w:r w:rsidR="00501577">
        <w:rPr>
          <w:rStyle w:val="Rimandonotaapidipagina"/>
          <w:rFonts w:eastAsia="Times New Roman"/>
          <w:iCs/>
          <w:lang w:val="en-US" w:eastAsia="it-IT"/>
        </w:rPr>
        <w:footnoteReference w:id="18"/>
      </w:r>
      <w:r w:rsidR="00916919" w:rsidRPr="00AF6910">
        <w:rPr>
          <w:rFonts w:eastAsia="Times New Roman"/>
          <w:iCs/>
          <w:lang w:eastAsia="it-IT"/>
        </w:rPr>
        <w:t>.</w:t>
      </w:r>
    </w:p>
    <w:p w14:paraId="2589F60B" w14:textId="4BF1BBE6" w:rsidR="007D6DE3" w:rsidRPr="00AF6910" w:rsidRDefault="007D6DE3" w:rsidP="007D6DE3">
      <w:pPr>
        <w:spacing w:before="240" w:after="240"/>
        <w:rPr>
          <w:rFonts w:eastAsia="Times New Roman"/>
          <w:iCs/>
          <w:lang w:eastAsia="it-IT"/>
        </w:rPr>
      </w:pPr>
      <w:r w:rsidRPr="00AF6910">
        <w:rPr>
          <w:rFonts w:eastAsia="Times New Roman"/>
          <w:iCs/>
          <w:lang w:eastAsia="it-IT"/>
        </w:rPr>
        <w:t>Dal 2021 la Strategia nazionale per la parità di genere coinvolge le amministrazioni centrali e gli Enti locali (Conferenza delle Regioni, Unione delle Province e dei Comuni nell’attuazione e nella misurazione di interventi volti a guadagnare 5 punti nel Gender Equality Index entro il 2026. Tra le misure previste vi è l’introduzione della valutazione dell’impatto di genere di ogni iniziativa legislativa e la promozione dei principi e degli strumenti del Gender Responsive Public Procurement (GRPP)</w:t>
      </w:r>
      <w:r w:rsidR="00916919">
        <w:rPr>
          <w:rStyle w:val="Rimandonotaapidipagina"/>
          <w:rFonts w:eastAsia="Times New Roman"/>
          <w:iCs/>
          <w:lang w:val="en-US" w:eastAsia="it-IT"/>
        </w:rPr>
        <w:footnoteReference w:id="19"/>
      </w:r>
      <w:r w:rsidRPr="00AF6910">
        <w:rPr>
          <w:rFonts w:eastAsia="Times New Roman"/>
          <w:iCs/>
          <w:lang w:eastAsia="it-IT"/>
        </w:rPr>
        <w:t>.</w:t>
      </w:r>
    </w:p>
    <w:p w14:paraId="665290DF" w14:textId="6279B351" w:rsidR="007D6DE3" w:rsidRPr="00AF6910" w:rsidRDefault="007D6DE3" w:rsidP="007D6DE3">
      <w:pPr>
        <w:spacing w:before="240" w:after="240"/>
        <w:rPr>
          <w:rFonts w:eastAsia="Times New Roman"/>
          <w:iCs/>
          <w:lang w:eastAsia="it-IT"/>
        </w:rPr>
      </w:pPr>
      <w:r w:rsidRPr="00AF6910">
        <w:rPr>
          <w:rFonts w:eastAsia="Times New Roman"/>
          <w:iCs/>
          <w:lang w:eastAsia="it-IT"/>
        </w:rPr>
        <w:t xml:space="preserve">La </w:t>
      </w:r>
      <w:r w:rsidR="00A7453A" w:rsidRPr="00AF6910">
        <w:rPr>
          <w:rFonts w:eastAsia="Times New Roman"/>
          <w:iCs/>
          <w:lang w:eastAsia="it-IT"/>
        </w:rPr>
        <w:t>legislazione vigente</w:t>
      </w:r>
      <w:r w:rsidR="00A7453A">
        <w:rPr>
          <w:rStyle w:val="Rimandonotaapidipagina"/>
          <w:rFonts w:eastAsia="Times New Roman"/>
          <w:iCs/>
          <w:lang w:val="en-US" w:eastAsia="it-IT"/>
        </w:rPr>
        <w:footnoteReference w:id="20"/>
      </w:r>
      <w:r w:rsidR="00A7453A" w:rsidRPr="00AF6910">
        <w:rPr>
          <w:rFonts w:eastAsia="Times New Roman"/>
          <w:iCs/>
          <w:lang w:eastAsia="it-IT"/>
        </w:rPr>
        <w:t xml:space="preserve"> </w:t>
      </w:r>
      <w:r w:rsidRPr="00AF6910">
        <w:rPr>
          <w:rFonts w:eastAsia="Times New Roman"/>
          <w:iCs/>
          <w:lang w:eastAsia="it-IT"/>
        </w:rPr>
        <w:t xml:space="preserve">recante misure per attuare parità e pari opportunità tra uomini e donne nelle amministrazioni pubbliche ha previsto che tutte le amministrazioni promuovano analisi di bilancio in cui si evidenzino quali voci di bilancio sono indirizzate alle donne e che i bilanci di genere diventino pratica consolidata nella rendicontazione sociale delle PA. </w:t>
      </w:r>
    </w:p>
    <w:p w14:paraId="7DB6CEEF" w14:textId="48D5B619" w:rsidR="008F1C6F" w:rsidRPr="008F1C6F" w:rsidRDefault="008351ED" w:rsidP="008351ED">
      <w:pPr>
        <w:spacing w:before="240" w:after="240"/>
        <w:rPr>
          <w:rFonts w:eastAsia="Times New Roman"/>
          <w:iCs/>
          <w:lang w:eastAsia="it-IT"/>
        </w:rPr>
      </w:pPr>
      <w:r w:rsidRPr="008351ED">
        <w:rPr>
          <w:rFonts w:eastAsia="Times New Roman"/>
          <w:iCs/>
          <w:lang w:val="en-US" w:eastAsia="it-IT"/>
        </w:rPr>
        <w:t>.</w:t>
      </w:r>
    </w:p>
    <w:p w14:paraId="320FAA13" w14:textId="77777777" w:rsidR="00475D3C" w:rsidRPr="003128ED" w:rsidRDefault="00307D7D" w:rsidP="001B00C5">
      <w:pPr>
        <w:pStyle w:val="Titolo1"/>
        <w:rPr>
          <w:rFonts w:eastAsia="Arial Unicode MS" w:cs="Arial"/>
          <w:szCs w:val="22"/>
        </w:rPr>
      </w:pPr>
      <w:r w:rsidRPr="003128ED">
        <w:rPr>
          <w:rFonts w:eastAsia="Arial Unicode MS" w:cs="Arial"/>
          <w:szCs w:val="22"/>
        </w:rPr>
        <w:br w:type="page"/>
      </w:r>
      <w:bookmarkStart w:id="10" w:name="_Toc316398632"/>
      <w:bookmarkStart w:id="11" w:name="_Toc316474161"/>
      <w:bookmarkStart w:id="12" w:name="_Toc316561552"/>
      <w:bookmarkStart w:id="13" w:name="_Toc316561831"/>
      <w:bookmarkStart w:id="14" w:name="_Toc316562148"/>
      <w:bookmarkStart w:id="15" w:name="_Toc316562464"/>
      <w:bookmarkStart w:id="16" w:name="_Toc316563659"/>
      <w:bookmarkStart w:id="17" w:name="_Toc201141699"/>
      <w:r w:rsidR="00A62C3D" w:rsidRPr="003128ED">
        <w:rPr>
          <w:rFonts w:eastAsia="Arial Unicode MS" w:cs="Arial"/>
          <w:szCs w:val="22"/>
        </w:rPr>
        <w:lastRenderedPageBreak/>
        <w:t>SCOPO E CAMPO DI APPLICAZIONE</w:t>
      </w:r>
      <w:bookmarkEnd w:id="10"/>
      <w:bookmarkEnd w:id="11"/>
      <w:bookmarkEnd w:id="12"/>
      <w:bookmarkEnd w:id="13"/>
      <w:bookmarkEnd w:id="14"/>
      <w:bookmarkEnd w:id="15"/>
      <w:bookmarkEnd w:id="16"/>
      <w:bookmarkEnd w:id="17"/>
    </w:p>
    <w:p w14:paraId="1DFC7664" w14:textId="63916CFF" w:rsidR="00F0407E" w:rsidRDefault="00E1033B" w:rsidP="00586C20">
      <w:pPr>
        <w:spacing w:before="240" w:after="240"/>
        <w:rPr>
          <w:rFonts w:eastAsia="Arial Unicode MS"/>
          <w:iCs/>
        </w:rPr>
      </w:pPr>
      <w:r w:rsidRPr="003128ED">
        <w:rPr>
          <w:rFonts w:eastAsia="Arial Unicode MS"/>
          <w:iCs/>
        </w:rPr>
        <w:t>La presente prassi di riferimento</w:t>
      </w:r>
      <w:r w:rsidR="00702860">
        <w:rPr>
          <w:rFonts w:eastAsia="Arial Unicode MS"/>
          <w:iCs/>
        </w:rPr>
        <w:t xml:space="preserve"> </w:t>
      </w:r>
      <w:r w:rsidR="00702860" w:rsidRPr="00702860">
        <w:rPr>
          <w:rFonts w:eastAsia="Arial Unicode MS"/>
          <w:iCs/>
        </w:rPr>
        <w:t xml:space="preserve">fornisce </w:t>
      </w:r>
      <w:r w:rsidR="00B8160F">
        <w:rPr>
          <w:rFonts w:eastAsia="Arial Unicode MS"/>
          <w:iCs/>
        </w:rPr>
        <w:t>requisiti e raccomandazioni per</w:t>
      </w:r>
      <w:r w:rsidR="00702860" w:rsidRPr="00702860">
        <w:rPr>
          <w:rFonts w:eastAsia="Arial Unicode MS"/>
          <w:iCs/>
        </w:rPr>
        <w:t xml:space="preserve"> l'adozione di un insieme di indicatori prestazionali (KPI) inerenti </w:t>
      </w:r>
      <w:r w:rsidR="00B224D2" w:rsidRPr="00702860">
        <w:rPr>
          <w:rFonts w:eastAsia="Arial Unicode MS"/>
          <w:iCs/>
        </w:rPr>
        <w:t>alla</w:t>
      </w:r>
      <w:r w:rsidR="00702860" w:rsidRPr="00702860">
        <w:rPr>
          <w:rFonts w:eastAsia="Arial Unicode MS"/>
          <w:iCs/>
        </w:rPr>
        <w:t xml:space="preserve"> Valutazione di Impatto di Genere </w:t>
      </w:r>
      <w:r w:rsidR="00B224D2">
        <w:rPr>
          <w:rFonts w:eastAsia="Arial Unicode MS"/>
          <w:iCs/>
        </w:rPr>
        <w:t>(</w:t>
      </w:r>
      <w:r w:rsidR="00702860" w:rsidRPr="00702860">
        <w:rPr>
          <w:rFonts w:eastAsia="Arial Unicode MS"/>
          <w:iCs/>
        </w:rPr>
        <w:t>VIG) ex ante ed ex post di Progetti di investimento e misure legislative da parte della Pubblica Amministrazione con riferimento particolare alle seguenti aree tematiche:</w:t>
      </w:r>
    </w:p>
    <w:p w14:paraId="61ECD53E" w14:textId="5EF1A53C" w:rsidR="00702860" w:rsidRPr="00AE34B3" w:rsidRDefault="00702860" w:rsidP="00AE34B3">
      <w:pPr>
        <w:pStyle w:val="Paragrafoelenco"/>
        <w:numPr>
          <w:ilvl w:val="0"/>
          <w:numId w:val="18"/>
        </w:numPr>
        <w:spacing w:before="240" w:after="240"/>
        <w:rPr>
          <w:rFonts w:eastAsia="Arial Unicode MS"/>
          <w:b w:val="0"/>
          <w:iCs/>
        </w:rPr>
      </w:pPr>
      <w:r w:rsidRPr="00AE34B3">
        <w:rPr>
          <w:rFonts w:eastAsia="Arial Unicode MS"/>
          <w:b w:val="0"/>
          <w:iCs/>
        </w:rPr>
        <w:t>crescita occupazionale femminile in Italia</w:t>
      </w:r>
      <w:r w:rsidR="00F8033A" w:rsidRPr="00AE34B3">
        <w:rPr>
          <w:rFonts w:eastAsia="Arial Unicode MS"/>
          <w:b w:val="0"/>
          <w:iCs/>
        </w:rPr>
        <w:t>;</w:t>
      </w:r>
    </w:p>
    <w:p w14:paraId="0E02D8A1" w14:textId="775CCA22" w:rsidR="00702860" w:rsidRPr="00AE34B3" w:rsidRDefault="00702860" w:rsidP="00AE34B3">
      <w:pPr>
        <w:pStyle w:val="Paragrafoelenco"/>
        <w:numPr>
          <w:ilvl w:val="0"/>
          <w:numId w:val="18"/>
        </w:numPr>
        <w:spacing w:before="240" w:after="240"/>
        <w:rPr>
          <w:rFonts w:eastAsia="Arial Unicode MS"/>
          <w:b w:val="0"/>
          <w:iCs/>
        </w:rPr>
      </w:pPr>
      <w:r w:rsidRPr="00AE34B3">
        <w:rPr>
          <w:rFonts w:eastAsia="Arial Unicode MS"/>
          <w:b w:val="0"/>
          <w:iCs/>
        </w:rPr>
        <w:t>aumento rapporti di lavoro femminili a tempo indeterminato</w:t>
      </w:r>
      <w:r w:rsidR="00F8033A" w:rsidRPr="00AE34B3">
        <w:rPr>
          <w:rFonts w:eastAsia="Arial Unicode MS"/>
          <w:b w:val="0"/>
          <w:iCs/>
        </w:rPr>
        <w:t>;</w:t>
      </w:r>
    </w:p>
    <w:p w14:paraId="449DF0FA" w14:textId="7B3C5AAA" w:rsidR="00702860" w:rsidRPr="00AE34B3" w:rsidRDefault="00702860" w:rsidP="00AE34B3">
      <w:pPr>
        <w:pStyle w:val="Paragrafoelenco"/>
        <w:numPr>
          <w:ilvl w:val="0"/>
          <w:numId w:val="18"/>
        </w:numPr>
        <w:spacing w:before="240" w:after="240"/>
        <w:rPr>
          <w:rFonts w:eastAsia="Arial Unicode MS"/>
          <w:b w:val="0"/>
          <w:iCs/>
        </w:rPr>
      </w:pPr>
      <w:r w:rsidRPr="00AE34B3">
        <w:rPr>
          <w:rFonts w:eastAsia="Arial Unicode MS"/>
          <w:b w:val="0"/>
          <w:iCs/>
        </w:rPr>
        <w:t>eliminazione gap salariale tra uomo e donna in caso di lavoro di pari valore</w:t>
      </w:r>
      <w:r w:rsidR="00C91E99">
        <w:rPr>
          <w:rStyle w:val="Rimandonotaapidipagina"/>
          <w:rFonts w:eastAsia="Arial Unicode MS"/>
          <w:b w:val="0"/>
          <w:iCs/>
        </w:rPr>
        <w:footnoteReference w:id="21"/>
      </w:r>
      <w:r w:rsidR="00F8033A" w:rsidRPr="00AE34B3">
        <w:rPr>
          <w:rFonts w:eastAsia="Arial Unicode MS"/>
          <w:b w:val="0"/>
          <w:iCs/>
        </w:rPr>
        <w:t>;</w:t>
      </w:r>
    </w:p>
    <w:p w14:paraId="2F04ED9E" w14:textId="4C7548F9" w:rsidR="00B224D2" w:rsidRPr="00AE34B3" w:rsidRDefault="00702860" w:rsidP="00AE34B3">
      <w:pPr>
        <w:pStyle w:val="Paragrafoelenco"/>
        <w:numPr>
          <w:ilvl w:val="0"/>
          <w:numId w:val="18"/>
        </w:numPr>
        <w:spacing w:before="240" w:after="240"/>
        <w:rPr>
          <w:rFonts w:eastAsia="Arial Unicode MS"/>
          <w:b w:val="0"/>
          <w:iCs/>
        </w:rPr>
      </w:pPr>
      <w:r w:rsidRPr="00AE34B3">
        <w:rPr>
          <w:rFonts w:eastAsia="Arial Unicode MS"/>
          <w:b w:val="0"/>
          <w:iCs/>
        </w:rPr>
        <w:t>crescita affidamenti ad imprese femmin</w:t>
      </w:r>
      <w:r w:rsidR="00F8033A" w:rsidRPr="00AE34B3">
        <w:rPr>
          <w:rFonts w:eastAsia="Arial Unicode MS"/>
          <w:b w:val="0"/>
          <w:iCs/>
        </w:rPr>
        <w:t>ili</w:t>
      </w:r>
      <w:r w:rsidR="00B224D2" w:rsidRPr="00AE34B3">
        <w:rPr>
          <w:rFonts w:eastAsia="Arial Unicode MS"/>
          <w:b w:val="0"/>
          <w:iCs/>
        </w:rPr>
        <w:t>;</w:t>
      </w:r>
    </w:p>
    <w:p w14:paraId="39B02FCC" w14:textId="30149B1B" w:rsidR="00B224D2" w:rsidRPr="00AE34B3" w:rsidRDefault="00B224D2" w:rsidP="00AE34B3">
      <w:pPr>
        <w:pStyle w:val="Paragrafoelenco"/>
        <w:numPr>
          <w:ilvl w:val="0"/>
          <w:numId w:val="18"/>
        </w:numPr>
        <w:spacing w:before="240" w:after="240"/>
        <w:rPr>
          <w:rFonts w:eastAsia="Arial Unicode MS"/>
          <w:b w:val="0"/>
          <w:iCs/>
        </w:rPr>
      </w:pPr>
      <w:r w:rsidRPr="00AE34B3">
        <w:rPr>
          <w:rFonts w:eastAsia="Arial Unicode MS"/>
          <w:b w:val="0"/>
          <w:iCs/>
        </w:rPr>
        <w:t>premialità nelle gare di appalto a fronte del possesso della certificazione ai sensi della UNI/</w:t>
      </w:r>
      <w:proofErr w:type="spellStart"/>
      <w:r w:rsidRPr="00AE34B3">
        <w:rPr>
          <w:rFonts w:eastAsia="Arial Unicode MS"/>
          <w:b w:val="0"/>
          <w:iCs/>
        </w:rPr>
        <w:t>PdR</w:t>
      </w:r>
      <w:proofErr w:type="spellEnd"/>
      <w:r w:rsidRPr="00AE34B3">
        <w:rPr>
          <w:rFonts w:eastAsia="Arial Unicode MS"/>
          <w:b w:val="0"/>
          <w:iCs/>
        </w:rPr>
        <w:t xml:space="preserve"> 125/2022 in applicazione </w:t>
      </w:r>
      <w:r w:rsidR="00C91E99">
        <w:rPr>
          <w:rFonts w:eastAsia="Arial Unicode MS"/>
          <w:b w:val="0"/>
          <w:iCs/>
        </w:rPr>
        <w:t>della legislazione vi</w:t>
      </w:r>
      <w:r w:rsidR="00D576C0">
        <w:rPr>
          <w:rFonts w:eastAsia="Arial Unicode MS"/>
          <w:b w:val="0"/>
          <w:iCs/>
        </w:rPr>
        <w:t>gente</w:t>
      </w:r>
      <w:r w:rsidR="00D576C0">
        <w:rPr>
          <w:rStyle w:val="Rimandonotaapidipagina"/>
          <w:rFonts w:eastAsia="Arial Unicode MS"/>
          <w:b w:val="0"/>
          <w:iCs/>
        </w:rPr>
        <w:footnoteReference w:id="22"/>
      </w:r>
      <w:r w:rsidRPr="00AE34B3">
        <w:rPr>
          <w:rFonts w:eastAsia="Arial Unicode MS"/>
          <w:b w:val="0"/>
          <w:iCs/>
        </w:rPr>
        <w:t>.</w:t>
      </w:r>
    </w:p>
    <w:p w14:paraId="0F4641E4" w14:textId="3955C9AF" w:rsidR="00F8033A" w:rsidRDefault="00B224D2" w:rsidP="00F13AEF">
      <w:pPr>
        <w:spacing w:before="240"/>
        <w:rPr>
          <w:rFonts w:eastAsia="Arial Unicode MS"/>
          <w:bCs/>
          <w:iCs/>
        </w:rPr>
      </w:pPr>
      <w:r w:rsidRPr="00B224D2">
        <w:rPr>
          <w:rFonts w:eastAsia="Arial Unicode MS"/>
          <w:bCs/>
          <w:iCs/>
        </w:rPr>
        <w:t>Per ognuna delle aree citate, il documento defini</w:t>
      </w:r>
      <w:r>
        <w:rPr>
          <w:rFonts w:eastAsia="Arial Unicode MS"/>
          <w:bCs/>
          <w:iCs/>
        </w:rPr>
        <w:t>sce</w:t>
      </w:r>
      <w:r w:rsidRPr="00B224D2">
        <w:rPr>
          <w:rFonts w:eastAsia="Arial Unicode MS"/>
          <w:bCs/>
          <w:iCs/>
        </w:rPr>
        <w:t xml:space="preserve"> degli indicatori minimi di riferimento.</w:t>
      </w:r>
    </w:p>
    <w:p w14:paraId="149C9770" w14:textId="77777777" w:rsidR="00F13AEF" w:rsidRPr="00F8033A" w:rsidRDefault="00F13AEF" w:rsidP="00F13AEF">
      <w:pPr>
        <w:spacing w:after="240"/>
        <w:rPr>
          <w:rFonts w:eastAsia="Arial Unicode MS"/>
          <w:bCs/>
          <w:iCs/>
        </w:rPr>
      </w:pPr>
    </w:p>
    <w:p w14:paraId="7956ABD9" w14:textId="77777777" w:rsidR="00475D3C" w:rsidRPr="003128ED" w:rsidRDefault="00A62C3D" w:rsidP="00867B07">
      <w:pPr>
        <w:pStyle w:val="Titolo1"/>
        <w:rPr>
          <w:rFonts w:eastAsia="Arial Unicode MS" w:cs="Arial"/>
          <w:szCs w:val="22"/>
        </w:rPr>
      </w:pPr>
      <w:bookmarkStart w:id="18" w:name="_Toc316398633"/>
      <w:bookmarkStart w:id="19" w:name="_Toc316474162"/>
      <w:bookmarkStart w:id="20" w:name="_Toc316561553"/>
      <w:bookmarkStart w:id="21" w:name="_Toc316561832"/>
      <w:bookmarkStart w:id="22" w:name="_Toc316562149"/>
      <w:bookmarkStart w:id="23" w:name="_Toc316562465"/>
      <w:bookmarkStart w:id="24" w:name="_Toc316563660"/>
      <w:bookmarkStart w:id="25" w:name="OLE_LINK22"/>
      <w:bookmarkStart w:id="26" w:name="OLE_LINK23"/>
      <w:bookmarkStart w:id="27" w:name="_Toc201141700"/>
      <w:r w:rsidRPr="003128ED">
        <w:rPr>
          <w:rFonts w:eastAsia="Arial Unicode MS" w:cs="Arial"/>
          <w:szCs w:val="22"/>
        </w:rPr>
        <w:t>RIFERIMENTI NORMATIVI E LEGISLATIVI</w:t>
      </w:r>
      <w:bookmarkEnd w:id="18"/>
      <w:bookmarkEnd w:id="19"/>
      <w:bookmarkEnd w:id="20"/>
      <w:bookmarkEnd w:id="21"/>
      <w:bookmarkEnd w:id="22"/>
      <w:bookmarkEnd w:id="23"/>
      <w:bookmarkEnd w:id="24"/>
      <w:bookmarkEnd w:id="25"/>
      <w:bookmarkEnd w:id="26"/>
      <w:bookmarkEnd w:id="27"/>
    </w:p>
    <w:p w14:paraId="62A412BA" w14:textId="55CCDC2F" w:rsidR="00AE3C93" w:rsidRDefault="0088608C" w:rsidP="0088608C">
      <w:pPr>
        <w:autoSpaceDE w:val="0"/>
        <w:spacing w:before="240" w:after="240"/>
        <w:rPr>
          <w:rFonts w:eastAsia="Arial Unicode MS"/>
        </w:rPr>
      </w:pPr>
      <w:r w:rsidRPr="003128ED">
        <w:rPr>
          <w:rFonts w:eastAsia="Arial Unicode MS"/>
        </w:rPr>
        <w:t>La presente prassi di riferimento rimanda, mediante riferimenti datati e non, a disposizioni contenute in altre pubblicazioni. Tali riferimenti normativi e legislativi sono citati nei punti appropriati del testo e sono di seguito elencati. Per quanto riguarda i riferimenti datati, successive modifiche o revisioni apportate a dette pubblicazioni valgono unicamente se introdotte nel presente documento come aggiornamento o revisione. Per i riferimenti non datati vale l'ultima edizione della pubblicazione alla quale si fa riferimento.</w:t>
      </w:r>
    </w:p>
    <w:p w14:paraId="026D770F" w14:textId="4946221D" w:rsidR="00AA42F9" w:rsidRDefault="00AA42F9" w:rsidP="0088608C">
      <w:pPr>
        <w:autoSpaceDE w:val="0"/>
        <w:spacing w:before="240" w:after="240"/>
        <w:rPr>
          <w:rFonts w:eastAsia="Arial Unicode MS"/>
        </w:rPr>
      </w:pPr>
      <w:r w:rsidRPr="00AA42F9">
        <w:rPr>
          <w:rFonts w:eastAsia="Arial Unicode MS"/>
        </w:rPr>
        <w:t>UNI CEI EN ISO/IEC 17065:2012</w:t>
      </w:r>
      <w:r w:rsidR="00F3547A">
        <w:rPr>
          <w:rFonts w:eastAsia="Arial Unicode MS"/>
        </w:rPr>
        <w:t xml:space="preserve"> </w:t>
      </w:r>
      <w:r w:rsidR="00500F87" w:rsidRPr="00500F87">
        <w:rPr>
          <w:rFonts w:eastAsia="Arial Unicode MS"/>
        </w:rPr>
        <w:t>Valutazione della conformità - Requisiti per organismi che certificano prodotti, processi e servizi</w:t>
      </w:r>
    </w:p>
    <w:p w14:paraId="67D6744A" w14:textId="6DE405F8" w:rsidR="001A606F" w:rsidRDefault="0044295C" w:rsidP="0088608C">
      <w:pPr>
        <w:autoSpaceDE w:val="0"/>
        <w:spacing w:before="240" w:after="240"/>
        <w:rPr>
          <w:rFonts w:eastAsia="Arial Unicode MS"/>
        </w:rPr>
      </w:pPr>
      <w:r w:rsidRPr="0044295C">
        <w:rPr>
          <w:rFonts w:eastAsia="Arial Unicode MS"/>
        </w:rPr>
        <w:t xml:space="preserve">UNI CEI EN ISO/IEC 17021-1:2015 </w:t>
      </w:r>
      <w:r w:rsidR="001A606F" w:rsidRPr="001A606F">
        <w:rPr>
          <w:rFonts w:eastAsia="Arial Unicode MS"/>
        </w:rPr>
        <w:t>Valutazione della conformità - Requisiti per gli organismi che forniscono audit e certificazione di sistemi di gestione - Parte 1: Requisiti</w:t>
      </w:r>
    </w:p>
    <w:p w14:paraId="043C7581" w14:textId="65C749D3" w:rsidR="002A5996" w:rsidRDefault="002A5996" w:rsidP="002A5996">
      <w:pPr>
        <w:autoSpaceDE w:val="0"/>
        <w:spacing w:before="240" w:after="240"/>
        <w:rPr>
          <w:rFonts w:eastAsia="Arial Unicode MS"/>
        </w:rPr>
      </w:pPr>
      <w:r w:rsidRPr="002A5996">
        <w:rPr>
          <w:rFonts w:eastAsia="Arial Unicode MS"/>
        </w:rPr>
        <w:t>UNI EN ISO 19011:2018</w:t>
      </w:r>
      <w:r>
        <w:rPr>
          <w:rFonts w:eastAsia="Arial Unicode MS"/>
        </w:rPr>
        <w:t xml:space="preserve"> </w:t>
      </w:r>
      <w:r w:rsidRPr="002A5996">
        <w:rPr>
          <w:rFonts w:eastAsia="Arial Unicode MS"/>
        </w:rPr>
        <w:t>Linee guida per audit di sistemi di gestione</w:t>
      </w:r>
    </w:p>
    <w:p w14:paraId="2C3E818C" w14:textId="7ED44FE0" w:rsidR="00500F87" w:rsidRPr="003128ED" w:rsidRDefault="0069584B" w:rsidP="0088608C">
      <w:pPr>
        <w:autoSpaceDE w:val="0"/>
        <w:spacing w:before="240" w:after="240"/>
        <w:rPr>
          <w:rFonts w:eastAsia="Arial Unicode MS"/>
        </w:rPr>
      </w:pPr>
      <w:r w:rsidRPr="0069584B">
        <w:rPr>
          <w:rFonts w:eastAsia="Arial Unicode MS"/>
        </w:rPr>
        <w:t>UNI/</w:t>
      </w:r>
      <w:proofErr w:type="spellStart"/>
      <w:r w:rsidRPr="0069584B">
        <w:rPr>
          <w:rFonts w:eastAsia="Arial Unicode MS"/>
        </w:rPr>
        <w:t>PdR</w:t>
      </w:r>
      <w:proofErr w:type="spellEnd"/>
      <w:r w:rsidRPr="0069584B">
        <w:rPr>
          <w:rFonts w:eastAsia="Arial Unicode MS"/>
        </w:rPr>
        <w:t xml:space="preserve"> 125:2022</w:t>
      </w:r>
      <w:r>
        <w:rPr>
          <w:rFonts w:eastAsia="Arial Unicode MS"/>
        </w:rPr>
        <w:t xml:space="preserve"> </w:t>
      </w:r>
      <w:r w:rsidRPr="0069584B">
        <w:rPr>
          <w:rFonts w:eastAsia="Arial Unicode MS"/>
        </w:rPr>
        <w:t xml:space="preserve">Linee guida sul sistema di gestione per la parità di genere che prevede l'adozione di specifici KPI (Key Performances </w:t>
      </w:r>
      <w:proofErr w:type="spellStart"/>
      <w:r w:rsidRPr="0069584B">
        <w:rPr>
          <w:rFonts w:eastAsia="Arial Unicode MS"/>
        </w:rPr>
        <w:t>Indicator</w:t>
      </w:r>
      <w:proofErr w:type="spellEnd"/>
      <w:r w:rsidRPr="0069584B">
        <w:rPr>
          <w:rFonts w:eastAsia="Arial Unicode MS"/>
        </w:rPr>
        <w:t xml:space="preserve"> - Indicatori chiave di prestazione) inerenti alle Politiche di parità di genere nelle organizzazioni</w:t>
      </w:r>
    </w:p>
    <w:p w14:paraId="123BF228" w14:textId="3E18FF1D" w:rsidR="00C55537" w:rsidRPr="00C55537" w:rsidRDefault="00C55537" w:rsidP="00C55537">
      <w:pPr>
        <w:pStyle w:val="Paragrafoelenco"/>
        <w:numPr>
          <w:ilvl w:val="0"/>
          <w:numId w:val="0"/>
        </w:numPr>
        <w:spacing w:before="100" w:line="240" w:lineRule="auto"/>
        <w:ind w:left="567"/>
        <w:rPr>
          <w:rFonts w:eastAsia="Arial Unicode MS"/>
          <w:b w:val="0"/>
          <w:bCs/>
        </w:rPr>
      </w:pPr>
    </w:p>
    <w:p w14:paraId="5E1FA266" w14:textId="77777777" w:rsidR="00D570CF" w:rsidRPr="003128ED" w:rsidRDefault="00D570CF" w:rsidP="00867B07">
      <w:pPr>
        <w:pStyle w:val="Titolo1"/>
        <w:rPr>
          <w:rFonts w:eastAsia="Arial Unicode MS" w:cs="Arial"/>
          <w:szCs w:val="22"/>
        </w:rPr>
      </w:pPr>
      <w:bookmarkStart w:id="28" w:name="_Toc329786948"/>
      <w:bookmarkStart w:id="29" w:name="_Toc201141701"/>
      <w:r w:rsidRPr="003128ED">
        <w:rPr>
          <w:rFonts w:eastAsia="Arial Unicode MS" w:cs="Arial"/>
          <w:szCs w:val="22"/>
        </w:rPr>
        <w:t>TERMINI E DEFINIZIONI</w:t>
      </w:r>
      <w:bookmarkEnd w:id="28"/>
      <w:bookmarkEnd w:id="29"/>
    </w:p>
    <w:p w14:paraId="7EA616AA" w14:textId="77777777" w:rsidR="00FE1956" w:rsidRDefault="00FE1956" w:rsidP="00FE1956">
      <w:pPr>
        <w:spacing w:before="240" w:after="240"/>
      </w:pPr>
      <w:bookmarkStart w:id="30" w:name="_Toc316398652"/>
      <w:bookmarkStart w:id="31" w:name="_Toc316474165"/>
      <w:bookmarkStart w:id="32" w:name="_Toc316561556"/>
      <w:bookmarkStart w:id="33" w:name="_Toc316561835"/>
      <w:bookmarkStart w:id="34" w:name="_Toc316562152"/>
      <w:bookmarkStart w:id="35" w:name="_Toc316562468"/>
      <w:bookmarkStart w:id="36" w:name="_Toc316563663"/>
      <w:bookmarkStart w:id="37" w:name="_Toc329786949"/>
      <w:r w:rsidRPr="003128ED">
        <w:t>Ai fini del presente documento valgono i termini e le definizioni seguenti</w:t>
      </w:r>
      <w:r w:rsidR="003906E6" w:rsidRPr="003128ED">
        <w:t>:</w:t>
      </w:r>
    </w:p>
    <w:p w14:paraId="743B6729" w14:textId="2922D48A" w:rsidR="00AF6910" w:rsidRPr="00D22173" w:rsidRDefault="00AF6910" w:rsidP="00D22173">
      <w:pPr>
        <w:pStyle w:val="Titolo2"/>
        <w:spacing w:after="120"/>
        <w:ind w:left="851" w:hanging="851"/>
        <w:rPr>
          <w:rFonts w:eastAsia="Arial Unicode MS"/>
          <w:b w:val="0"/>
          <w:bCs/>
          <w:lang w:val="es-ES"/>
        </w:rPr>
      </w:pPr>
      <w:bookmarkStart w:id="38" w:name="_Toc197938022"/>
      <w:bookmarkStart w:id="39" w:name="_Toc201141702"/>
      <w:r>
        <w:rPr>
          <w:rFonts w:eastAsia="Arial Unicode MS"/>
          <w:bCs/>
        </w:rPr>
        <w:lastRenderedPageBreak/>
        <w:t>b</w:t>
      </w:r>
      <w:r w:rsidRPr="0067713F">
        <w:rPr>
          <w:rFonts w:eastAsia="Arial Unicode MS"/>
          <w:bCs/>
        </w:rPr>
        <w:t>ilancio di genere</w:t>
      </w:r>
      <w:r w:rsidRPr="00C13088">
        <w:rPr>
          <w:rFonts w:eastAsia="Arial Unicode MS"/>
          <w:bCs/>
        </w:rPr>
        <w:t xml:space="preserve">: </w:t>
      </w:r>
      <w:r w:rsidR="00D22173" w:rsidRPr="00D22173">
        <w:rPr>
          <w:rFonts w:eastAsia="Arial Unicode MS"/>
          <w:b w:val="0"/>
        </w:rPr>
        <w:t>Strumento di rendicontazione che analizza come le risorse di un bilancio vengono spese e come queste spese influenzano uomini e donne. </w:t>
      </w:r>
      <w:r w:rsidR="00D22173">
        <w:rPr>
          <w:rFonts w:eastAsia="Arial Unicode MS"/>
          <w:b w:val="0"/>
        </w:rPr>
        <w:t>Il bilancio di genere</w:t>
      </w:r>
      <w:r w:rsidR="00D22173" w:rsidRPr="00D22173">
        <w:rPr>
          <w:rFonts w:eastAsia="Arial Unicode MS"/>
          <w:b w:val="0"/>
        </w:rPr>
        <w:t xml:space="preserve"> permette di valutare</w:t>
      </w:r>
      <w:r w:rsidR="00D22173">
        <w:rPr>
          <w:rFonts w:eastAsia="Arial Unicode MS"/>
          <w:b w:val="0"/>
        </w:rPr>
        <w:t xml:space="preserve">, attraverso </w:t>
      </w:r>
      <w:r w:rsidR="00D22173" w:rsidRPr="00AF6910">
        <w:rPr>
          <w:rFonts w:eastAsia="Arial Unicode MS"/>
          <w:b w:val="0"/>
          <w:bCs/>
        </w:rPr>
        <w:t>una maggiore trasparenza sulla destinazione delle risorse</w:t>
      </w:r>
      <w:r w:rsidR="00D22173">
        <w:rPr>
          <w:rFonts w:eastAsia="Arial Unicode MS"/>
          <w:b w:val="0"/>
          <w:bCs/>
        </w:rPr>
        <w:t>,</w:t>
      </w:r>
      <w:r w:rsidR="00D22173" w:rsidRPr="00D22173">
        <w:rPr>
          <w:rFonts w:eastAsia="Arial Unicode MS"/>
          <w:b w:val="0"/>
        </w:rPr>
        <w:t xml:space="preserve"> l'impatto della spesa pubblica o aziendale sulla parità di genere, evidenziando eventuali disparità e promuovendo un approccio più equo alla gestione delle risorse</w:t>
      </w:r>
      <w:r w:rsidRPr="00AF6910">
        <w:rPr>
          <w:rStyle w:val="Rimandonotaapidipagina"/>
          <w:rFonts w:eastAsia="Arial Unicode MS"/>
          <w:b w:val="0"/>
          <w:bCs/>
          <w:color w:val="000000" w:themeColor="text1"/>
          <w:lang w:eastAsia="en-US"/>
          <w14:ligatures w14:val="standardContextual"/>
        </w:rPr>
        <w:footnoteReference w:id="23"/>
      </w:r>
      <w:r w:rsidRPr="00AF6910">
        <w:rPr>
          <w:rFonts w:eastAsia="Arial Unicode MS"/>
          <w:b w:val="0"/>
          <w:bCs/>
        </w:rPr>
        <w:t>.</w:t>
      </w:r>
      <w:r w:rsidRPr="00B87BA3">
        <w:rPr>
          <w:rFonts w:eastAsia="Arial Unicode MS"/>
          <w:lang w:val="es-ES"/>
        </w:rPr>
        <w:t xml:space="preserve"> </w:t>
      </w:r>
      <w:r w:rsidR="00D22173" w:rsidRPr="00D22173">
        <w:rPr>
          <w:rFonts w:eastAsia="Arial Unicode MS"/>
          <w:b w:val="0"/>
          <w:bCs/>
          <w:lang w:val="es-ES"/>
        </w:rPr>
        <w:t>Equivale a un bilancio consuntivo aziendale declinato rispetto all’impatto che gli investi</w:t>
      </w:r>
      <w:r w:rsidR="00D22173">
        <w:rPr>
          <w:rFonts w:eastAsia="Arial Unicode MS"/>
          <w:b w:val="0"/>
          <w:bCs/>
          <w:lang w:val="es-ES"/>
        </w:rPr>
        <w:t>m</w:t>
      </w:r>
      <w:r w:rsidR="00D22173" w:rsidRPr="00D22173">
        <w:rPr>
          <w:rFonts w:eastAsia="Arial Unicode MS"/>
          <w:b w:val="0"/>
          <w:bCs/>
          <w:lang w:val="es-ES"/>
        </w:rPr>
        <w:t>enti possono avere su uomini e donne</w:t>
      </w:r>
      <w:r w:rsidR="00D22173">
        <w:rPr>
          <w:rFonts w:eastAsia="Arial Unicode MS"/>
          <w:b w:val="0"/>
          <w:bCs/>
          <w:lang w:val="es-ES"/>
        </w:rPr>
        <w:t>.</w:t>
      </w:r>
      <w:bookmarkEnd w:id="38"/>
      <w:bookmarkEnd w:id="39"/>
    </w:p>
    <w:p w14:paraId="26ABFE43" w14:textId="68CD37EA" w:rsidR="00AF6910" w:rsidRPr="009234A8" w:rsidRDefault="00AF6910" w:rsidP="0013358C">
      <w:pPr>
        <w:autoSpaceDE w:val="0"/>
        <w:autoSpaceDN w:val="0"/>
        <w:adjustRightInd w:val="0"/>
        <w:spacing w:after="120" w:line="240" w:lineRule="auto"/>
        <w:ind w:left="851" w:hanging="851"/>
        <w:rPr>
          <w:rFonts w:eastAsia="Times New Roman"/>
          <w:lang w:val="es-ES" w:eastAsia="it-IT"/>
        </w:rPr>
      </w:pPr>
      <w:r w:rsidRPr="00C13088">
        <w:rPr>
          <w:rFonts w:eastAsia="Arial Unicode MS"/>
          <w:b/>
          <w:bCs/>
          <w:color w:val="000000" w:themeColor="text1"/>
          <w:lang w:eastAsia="en-US"/>
          <w14:ligatures w14:val="standardContextual"/>
        </w:rPr>
        <w:t>3.2</w:t>
      </w:r>
      <w:r w:rsidRPr="00C13088">
        <w:rPr>
          <w:rFonts w:eastAsia="Arial Unicode MS"/>
          <w:color w:val="000000" w:themeColor="text1"/>
          <w:lang w:eastAsia="en-US"/>
          <w14:ligatures w14:val="standardContextual"/>
        </w:rPr>
        <w:tab/>
      </w:r>
      <w:r>
        <w:rPr>
          <w:rFonts w:eastAsia="Arial Unicode MS"/>
          <w:b/>
          <w:bCs/>
          <w:color w:val="000000" w:themeColor="text1"/>
          <w:lang w:eastAsia="en-US"/>
          <w14:ligatures w14:val="standardContextual"/>
        </w:rPr>
        <w:t>g</w:t>
      </w:r>
      <w:r w:rsidRPr="00C13088">
        <w:rPr>
          <w:rFonts w:eastAsia="Arial Unicode MS"/>
          <w:b/>
          <w:bCs/>
          <w:color w:val="000000" w:themeColor="text1"/>
          <w:lang w:eastAsia="en-US"/>
          <w14:ligatures w14:val="standardContextual"/>
        </w:rPr>
        <w:t xml:space="preserve">ender </w:t>
      </w:r>
      <w:r>
        <w:rPr>
          <w:rFonts w:eastAsia="Arial Unicode MS"/>
          <w:b/>
          <w:bCs/>
          <w:color w:val="000000" w:themeColor="text1"/>
          <w:lang w:eastAsia="en-US"/>
          <w14:ligatures w14:val="standardContextual"/>
        </w:rPr>
        <w:t>b</w:t>
      </w:r>
      <w:r w:rsidRPr="00C13088">
        <w:rPr>
          <w:rFonts w:eastAsia="Arial Unicode MS"/>
          <w:b/>
          <w:bCs/>
          <w:color w:val="000000" w:themeColor="text1"/>
          <w:lang w:eastAsia="en-US"/>
          <w14:ligatures w14:val="standardContextual"/>
        </w:rPr>
        <w:t xml:space="preserve">udgeting: </w:t>
      </w:r>
      <w:r>
        <w:rPr>
          <w:rFonts w:eastAsia="Times New Roman"/>
          <w:lang w:eastAsia="it-IT"/>
        </w:rPr>
        <w:t>D</w:t>
      </w:r>
      <w:r w:rsidRPr="00C13088">
        <w:rPr>
          <w:rFonts w:eastAsia="Times New Roman"/>
          <w:lang w:eastAsia="it-IT"/>
        </w:rPr>
        <w:t xml:space="preserve">ocumento di bilancio che analizza e valuta in ottica di genere le scelte politiche e gli impegni </w:t>
      </w:r>
      <w:r w:rsidRPr="009313E0">
        <w:rPr>
          <w:rFonts w:eastAsia="Arial Unicode MS"/>
          <w:b/>
          <w:bCs/>
          <w:color w:val="000000" w:themeColor="text1"/>
          <w:lang w:eastAsia="en-US"/>
          <w14:ligatures w14:val="standardContextual"/>
        </w:rPr>
        <w:t>economici</w:t>
      </w:r>
      <w:r w:rsidRPr="00C13088">
        <w:rPr>
          <w:rFonts w:eastAsia="Times New Roman"/>
          <w:lang w:eastAsia="it-IT"/>
        </w:rPr>
        <w:t>-finanziari di un'amministrazione.</w:t>
      </w:r>
      <w:r w:rsidR="000E58C5">
        <w:rPr>
          <w:rFonts w:eastAsia="Times New Roman"/>
          <w:lang w:eastAsia="it-IT"/>
        </w:rPr>
        <w:t xml:space="preserve"> </w:t>
      </w:r>
      <w:r w:rsidR="000E58C5" w:rsidRPr="000E58C5">
        <w:rPr>
          <w:rFonts w:eastAsia="Times New Roman"/>
          <w:lang w:eastAsia="it-IT"/>
        </w:rPr>
        <w:t>È uno strumento di programmazione finanziaria per gli enti e le aziende</w:t>
      </w:r>
      <w:r w:rsidR="000E58C5">
        <w:rPr>
          <w:rFonts w:eastAsia="Times New Roman"/>
          <w:lang w:eastAsia="it-IT"/>
        </w:rPr>
        <w:t xml:space="preserve"> che equivale a un bilancio preventivo o</w:t>
      </w:r>
      <w:r w:rsidR="000E58C5" w:rsidRPr="000E58C5">
        <w:rPr>
          <w:rFonts w:eastAsia="Times New Roman"/>
          <w:lang w:eastAsia="it-IT"/>
        </w:rPr>
        <w:t xml:space="preserve"> di previsione. </w:t>
      </w:r>
    </w:p>
    <w:p w14:paraId="587EF008" w14:textId="1F61255C" w:rsidR="000E58C5" w:rsidRPr="000E58C5" w:rsidRDefault="00AF6910" w:rsidP="000E58C5">
      <w:pPr>
        <w:autoSpaceDE w:val="0"/>
        <w:autoSpaceDN w:val="0"/>
        <w:adjustRightInd w:val="0"/>
        <w:spacing w:after="120" w:line="240" w:lineRule="auto"/>
        <w:ind w:left="851" w:hanging="851"/>
        <w:rPr>
          <w:rFonts w:eastAsia="Arial Unicode MS"/>
          <w:b/>
          <w:bCs/>
          <w:color w:val="000000" w:themeColor="text1"/>
          <w:lang w:eastAsia="en-US"/>
          <w14:ligatures w14:val="standardContextual"/>
        </w:rPr>
      </w:pPr>
      <w:r w:rsidRPr="000E58C5">
        <w:rPr>
          <w:rFonts w:eastAsia="Arial Unicode MS"/>
          <w:b/>
          <w:bCs/>
          <w:color w:val="000000" w:themeColor="text1"/>
          <w:lang w:eastAsia="en-US"/>
          <w14:ligatures w14:val="standardContextual"/>
        </w:rPr>
        <w:t>3.3</w:t>
      </w:r>
      <w:r w:rsidRPr="000E58C5">
        <w:rPr>
          <w:rFonts w:eastAsia="Arial Unicode MS"/>
          <w:b/>
          <w:bCs/>
          <w:color w:val="000000" w:themeColor="text1"/>
          <w:lang w:eastAsia="en-US"/>
          <w14:ligatures w14:val="standardContextual"/>
        </w:rPr>
        <w:tab/>
      </w:r>
      <w:r w:rsidR="000E58C5" w:rsidRPr="000E58C5">
        <w:rPr>
          <w:rFonts w:eastAsia="Arial Unicode MS"/>
          <w:b/>
          <w:bCs/>
          <w:color w:val="000000" w:themeColor="text1"/>
          <w:lang w:eastAsia="en-US"/>
          <w14:ligatures w14:val="standardContextual"/>
        </w:rPr>
        <w:t>gender mainstreaming o mainstreaming di genere</w:t>
      </w:r>
      <w:r w:rsidR="000E58C5" w:rsidRPr="000E58C5">
        <w:rPr>
          <w:rFonts w:eastAsia="Arial Unicode MS"/>
          <w:color w:val="000000" w:themeColor="text1"/>
          <w:lang w:eastAsia="en-US"/>
          <w14:ligatures w14:val="standardContextual"/>
        </w:rPr>
        <w:t xml:space="preserve">: </w:t>
      </w:r>
      <w:r w:rsidR="00A62548">
        <w:rPr>
          <w:rFonts w:eastAsia="Arial Unicode MS"/>
          <w:color w:val="000000" w:themeColor="text1"/>
          <w:lang w:eastAsia="en-US"/>
          <w14:ligatures w14:val="standardContextual"/>
        </w:rPr>
        <w:t>P</w:t>
      </w:r>
      <w:r w:rsidR="00A62548" w:rsidRPr="00A62548">
        <w:rPr>
          <w:rFonts w:eastAsia="Arial Unicode MS"/>
          <w:color w:val="000000" w:themeColor="text1"/>
          <w:lang w:eastAsia="en-US"/>
          <w14:ligatures w14:val="standardContextual"/>
        </w:rPr>
        <w:t>rocesso di valutazione delle implicazioni per donne e uomini di ogni azione pianificata, inclusi legislazione, politiche o programmi, in tutti i settori e a tutti i livelli. È una strategia per rendere le preoccupazioni e le esperienze sia delle donne che degli uomini una dimensione integrale della progettazione, attuazione, monitoraggio e valutazione delle politiche e dei programmi in tutte le sfere politiche, economiche e sociali, affinché donne e uomini possano beneficiarne in egual misura e non si perpetui la disuguaglianza. L’obiettivo è il raggiungimento della parità di genere</w:t>
      </w:r>
      <w:r w:rsidR="00A62548">
        <w:rPr>
          <w:rStyle w:val="Rimandonotaapidipagina"/>
          <w:rFonts w:eastAsia="Arial Unicode MS"/>
          <w:color w:val="000000" w:themeColor="text1"/>
          <w:lang w:eastAsia="en-US"/>
          <w14:ligatures w14:val="standardContextual"/>
        </w:rPr>
        <w:footnoteReference w:id="24"/>
      </w:r>
      <w:r w:rsidR="00A62548" w:rsidRPr="00A62548">
        <w:rPr>
          <w:rFonts w:eastAsia="Arial Unicode MS"/>
          <w:color w:val="000000" w:themeColor="text1"/>
          <w:lang w:eastAsia="en-US"/>
          <w14:ligatures w14:val="standardContextual"/>
        </w:rPr>
        <w:t xml:space="preserve">. </w:t>
      </w:r>
      <w:r w:rsidR="0009750F">
        <w:rPr>
          <w:rFonts w:eastAsia="Arial Unicode MS"/>
          <w:color w:val="000000" w:themeColor="text1"/>
          <w:lang w:eastAsia="en-US"/>
          <w14:ligatures w14:val="standardContextual"/>
        </w:rPr>
        <w:t xml:space="preserve">Si veda anche </w:t>
      </w:r>
      <w:r w:rsidR="0009750F" w:rsidRPr="0009750F">
        <w:rPr>
          <w:rFonts w:eastAsia="Arial Unicode MS"/>
          <w:i/>
          <w:iCs/>
          <w:color w:val="000000" w:themeColor="text1"/>
          <w:u w:val="single"/>
          <w:lang w:eastAsia="en-US"/>
          <w14:ligatures w14:val="standardContextual"/>
        </w:rPr>
        <w:t>sub</w:t>
      </w:r>
      <w:r w:rsidR="0009750F">
        <w:rPr>
          <w:rFonts w:eastAsia="Arial Unicode MS"/>
          <w:color w:val="000000" w:themeColor="text1"/>
          <w:lang w:eastAsia="en-US"/>
          <w14:ligatures w14:val="standardContextual"/>
        </w:rPr>
        <w:t xml:space="preserve"> nota 2</w:t>
      </w:r>
      <w:r w:rsidR="00A62548">
        <w:rPr>
          <w:rFonts w:eastAsia="Arial Unicode MS"/>
          <w:color w:val="000000" w:themeColor="text1"/>
          <w:lang w:eastAsia="en-US"/>
          <w14:ligatures w14:val="standardContextual"/>
        </w:rPr>
        <w:t>7</w:t>
      </w:r>
      <w:r w:rsidR="0009750F">
        <w:rPr>
          <w:rFonts w:eastAsia="Arial Unicode MS"/>
          <w:color w:val="000000" w:themeColor="text1"/>
          <w:lang w:eastAsia="en-US"/>
          <w14:ligatures w14:val="standardContextual"/>
        </w:rPr>
        <w:t>.</w:t>
      </w:r>
    </w:p>
    <w:p w14:paraId="175D0AAD" w14:textId="095CD8DA" w:rsidR="00C13088" w:rsidRPr="00C13088" w:rsidRDefault="000E58C5" w:rsidP="00AF6910">
      <w:pPr>
        <w:autoSpaceDE w:val="0"/>
        <w:autoSpaceDN w:val="0"/>
        <w:adjustRightInd w:val="0"/>
        <w:spacing w:line="240" w:lineRule="auto"/>
        <w:ind w:left="851" w:hanging="851"/>
        <w:rPr>
          <w:rFonts w:eastAsia="Arial Unicode MS"/>
          <w:color w:val="000000" w:themeColor="text1"/>
          <w:lang w:eastAsia="en-US"/>
          <w14:ligatures w14:val="standardContextual"/>
        </w:rPr>
      </w:pPr>
      <w:r>
        <w:rPr>
          <w:rFonts w:eastAsia="Arial Unicode MS"/>
          <w:b/>
          <w:bCs/>
          <w:color w:val="000000" w:themeColor="text1"/>
          <w:lang w:eastAsia="en-US"/>
          <w14:ligatures w14:val="standardContextual"/>
        </w:rPr>
        <w:t>3.4</w:t>
      </w:r>
      <w:r>
        <w:rPr>
          <w:rFonts w:eastAsia="Arial Unicode MS"/>
          <w:b/>
          <w:bCs/>
          <w:color w:val="000000" w:themeColor="text1"/>
          <w:lang w:eastAsia="en-US"/>
          <w14:ligatures w14:val="standardContextual"/>
        </w:rPr>
        <w:tab/>
      </w:r>
      <w:r w:rsidR="00C13088" w:rsidRPr="00C13088">
        <w:rPr>
          <w:rFonts w:eastAsia="Arial Unicode MS"/>
          <w:b/>
          <w:bCs/>
          <w:color w:val="000000" w:themeColor="text1"/>
          <w:lang w:eastAsia="en-US"/>
          <w14:ligatures w14:val="standardContextual"/>
        </w:rPr>
        <w:t xml:space="preserve">Valutazione </w:t>
      </w:r>
      <w:r w:rsidR="00C13088">
        <w:rPr>
          <w:rFonts w:eastAsia="Arial Unicode MS"/>
          <w:b/>
          <w:bCs/>
          <w:color w:val="000000" w:themeColor="text1"/>
          <w:lang w:eastAsia="en-US"/>
          <w14:ligatures w14:val="standardContextual"/>
        </w:rPr>
        <w:t>I</w:t>
      </w:r>
      <w:r w:rsidR="00C13088" w:rsidRPr="00C13088">
        <w:rPr>
          <w:rFonts w:eastAsia="Arial Unicode MS"/>
          <w:b/>
          <w:bCs/>
          <w:color w:val="000000" w:themeColor="text1"/>
          <w:lang w:eastAsia="en-US"/>
          <w14:ligatures w14:val="standardContextual"/>
        </w:rPr>
        <w:t xml:space="preserve">mpatto di </w:t>
      </w:r>
      <w:r w:rsidR="00C13088">
        <w:rPr>
          <w:rFonts w:eastAsia="Arial Unicode MS"/>
          <w:b/>
          <w:bCs/>
          <w:color w:val="000000" w:themeColor="text1"/>
          <w:lang w:eastAsia="en-US"/>
          <w14:ligatures w14:val="standardContextual"/>
        </w:rPr>
        <w:t>G</w:t>
      </w:r>
      <w:r w:rsidR="00C13088" w:rsidRPr="00C13088">
        <w:rPr>
          <w:rFonts w:eastAsia="Arial Unicode MS"/>
          <w:b/>
          <w:bCs/>
          <w:color w:val="000000" w:themeColor="text1"/>
          <w:lang w:eastAsia="en-US"/>
          <w14:ligatures w14:val="standardContextual"/>
        </w:rPr>
        <w:t>enere (VIG):</w:t>
      </w:r>
      <w:r w:rsidR="00C13088" w:rsidRPr="00C13088">
        <w:rPr>
          <w:rFonts w:eastAsia="Arial Unicode MS"/>
          <w:color w:val="000000" w:themeColor="text1"/>
          <w:lang w:eastAsia="en-US"/>
          <w14:ligatures w14:val="standardContextual"/>
        </w:rPr>
        <w:t xml:space="preserve"> </w:t>
      </w:r>
      <w:r w:rsidR="0067713F">
        <w:rPr>
          <w:rFonts w:eastAsia="Arial Unicode MS"/>
          <w:color w:val="000000" w:themeColor="text1"/>
          <w:lang w:eastAsia="en-US"/>
          <w14:ligatures w14:val="standardContextual"/>
        </w:rPr>
        <w:t>S</w:t>
      </w:r>
      <w:r w:rsidR="00C13088" w:rsidRPr="00C13088">
        <w:rPr>
          <w:rFonts w:eastAsia="Arial Unicode MS"/>
          <w:color w:val="000000" w:themeColor="text1"/>
          <w:lang w:eastAsia="en-US"/>
          <w14:ligatures w14:val="standardContextual"/>
        </w:rPr>
        <w:t xml:space="preserve">trumento per dare evidenza dell'integrazione di genere (gender mainstreaming) nelle politiche e nelle prassi amministrative. </w:t>
      </w:r>
    </w:p>
    <w:p w14:paraId="41ACEFC2" w14:textId="648E7307" w:rsidR="00B87BA3" w:rsidRPr="00B87BA3" w:rsidRDefault="00B87BA3" w:rsidP="00F13AEF">
      <w:pPr>
        <w:autoSpaceDE w:val="0"/>
        <w:autoSpaceDN w:val="0"/>
        <w:adjustRightInd w:val="0"/>
        <w:spacing w:line="240" w:lineRule="auto"/>
        <w:rPr>
          <w:rFonts w:eastAsia="Arial Unicode MS" w:cs="Times New Roman"/>
          <w:b/>
          <w:iCs/>
          <w:kern w:val="32"/>
          <w:szCs w:val="28"/>
          <w:lang w:val="es-ES"/>
        </w:rPr>
      </w:pPr>
    </w:p>
    <w:p w14:paraId="184E9992" w14:textId="77777777" w:rsidR="00D570CF" w:rsidRPr="003128ED" w:rsidRDefault="00D570CF" w:rsidP="00867B07">
      <w:pPr>
        <w:pStyle w:val="Titolo1"/>
        <w:rPr>
          <w:rFonts w:eastAsia="Arial Unicode MS" w:cs="Arial"/>
          <w:szCs w:val="22"/>
        </w:rPr>
      </w:pPr>
      <w:bookmarkStart w:id="40" w:name="_Toc201141703"/>
      <w:r w:rsidRPr="003128ED">
        <w:rPr>
          <w:rFonts w:eastAsia="Arial Unicode MS" w:cs="Arial"/>
          <w:szCs w:val="22"/>
        </w:rPr>
        <w:t>PRINCIPIO</w:t>
      </w:r>
      <w:bookmarkEnd w:id="30"/>
      <w:bookmarkEnd w:id="31"/>
      <w:bookmarkEnd w:id="32"/>
      <w:bookmarkEnd w:id="33"/>
      <w:bookmarkEnd w:id="34"/>
      <w:bookmarkEnd w:id="35"/>
      <w:bookmarkEnd w:id="36"/>
      <w:bookmarkEnd w:id="37"/>
      <w:bookmarkEnd w:id="40"/>
    </w:p>
    <w:p w14:paraId="267BD4E8" w14:textId="766BEEDE" w:rsidR="007B48BE" w:rsidRPr="007B48BE" w:rsidRDefault="00AA25C0" w:rsidP="007B48BE">
      <w:pPr>
        <w:spacing w:before="240" w:after="240"/>
        <w:rPr>
          <w:rFonts w:eastAsia="Times New Roman"/>
          <w:lang w:eastAsia="it-IT"/>
        </w:rPr>
      </w:pPr>
      <w:bookmarkStart w:id="41" w:name="_Toc316398654"/>
      <w:bookmarkEnd w:id="41"/>
      <w:r w:rsidRPr="003128ED">
        <w:rPr>
          <w:rFonts w:eastAsia="Times New Roman"/>
          <w:lang w:eastAsia="it-IT"/>
        </w:rPr>
        <w:t xml:space="preserve">La </w:t>
      </w:r>
      <w:r w:rsidR="007B48BE">
        <w:rPr>
          <w:rFonts w:eastAsia="Times New Roman"/>
          <w:lang w:eastAsia="it-IT"/>
        </w:rPr>
        <w:t xml:space="preserve">presente </w:t>
      </w:r>
      <w:r w:rsidRPr="003128ED">
        <w:rPr>
          <w:rFonts w:eastAsia="Times New Roman"/>
          <w:lang w:eastAsia="it-IT"/>
        </w:rPr>
        <w:t>prassi di riferimento</w:t>
      </w:r>
      <w:r w:rsidR="007B48BE">
        <w:rPr>
          <w:rFonts w:eastAsia="Times New Roman"/>
          <w:lang w:eastAsia="it-IT"/>
        </w:rPr>
        <w:t xml:space="preserve"> </w:t>
      </w:r>
      <w:r w:rsidR="00666395">
        <w:rPr>
          <w:rFonts w:eastAsia="Times New Roman"/>
          <w:lang w:eastAsia="it-IT"/>
        </w:rPr>
        <w:t>ha</w:t>
      </w:r>
      <w:r w:rsidR="00C33B47">
        <w:rPr>
          <w:rFonts w:eastAsia="Times New Roman"/>
          <w:lang w:eastAsia="it-IT"/>
        </w:rPr>
        <w:t xml:space="preserve"> tra i </w:t>
      </w:r>
      <w:r w:rsidR="00666395">
        <w:rPr>
          <w:rFonts w:eastAsia="Times New Roman"/>
          <w:lang w:eastAsia="it-IT"/>
        </w:rPr>
        <w:t xml:space="preserve">suoi obiettivi </w:t>
      </w:r>
      <w:r w:rsidR="001B3E77">
        <w:rPr>
          <w:rFonts w:eastAsia="Times New Roman"/>
          <w:lang w:eastAsia="it-IT"/>
        </w:rPr>
        <w:t xml:space="preserve">l’integrazione dei </w:t>
      </w:r>
      <w:r w:rsidR="007B48BE" w:rsidRPr="007B48BE">
        <w:rPr>
          <w:rFonts w:eastAsia="Times New Roman"/>
          <w:lang w:eastAsia="it-IT"/>
        </w:rPr>
        <w:t xml:space="preserve">principi di equità di genere e di rispetto delle diversità </w:t>
      </w:r>
      <w:r w:rsidR="00411C58">
        <w:rPr>
          <w:rFonts w:eastAsia="Times New Roman"/>
          <w:lang w:eastAsia="it-IT"/>
        </w:rPr>
        <w:t>all’interno</w:t>
      </w:r>
      <w:r w:rsidR="007B48BE" w:rsidRPr="007B48BE">
        <w:rPr>
          <w:rFonts w:eastAsia="Times New Roman"/>
          <w:lang w:eastAsia="it-IT"/>
        </w:rPr>
        <w:t xml:space="preserve"> della società </w:t>
      </w:r>
      <w:r w:rsidR="00982D5B">
        <w:rPr>
          <w:rFonts w:eastAsia="Times New Roman"/>
          <w:lang w:eastAsia="it-IT"/>
        </w:rPr>
        <w:t xml:space="preserve">a partire da una corretta </w:t>
      </w:r>
      <w:r w:rsidR="004D553C">
        <w:rPr>
          <w:rFonts w:eastAsia="Times New Roman"/>
          <w:lang w:eastAsia="it-IT"/>
        </w:rPr>
        <w:t>valutazione di impatto di genere</w:t>
      </w:r>
      <w:r w:rsidR="007B68C1">
        <w:rPr>
          <w:rFonts w:eastAsia="Times New Roman"/>
          <w:lang w:eastAsia="it-IT"/>
        </w:rPr>
        <w:t xml:space="preserve"> (VIG)</w:t>
      </w:r>
      <w:r w:rsidR="004D553C">
        <w:rPr>
          <w:rFonts w:eastAsia="Times New Roman"/>
          <w:lang w:eastAsia="it-IT"/>
        </w:rPr>
        <w:t xml:space="preserve"> nell’ambito della pubblica amministrazione. </w:t>
      </w:r>
    </w:p>
    <w:p w14:paraId="77A38BF0" w14:textId="4EAD547B" w:rsidR="007B48BE" w:rsidRPr="007B48BE" w:rsidRDefault="007B48BE" w:rsidP="007B48BE">
      <w:pPr>
        <w:spacing w:before="240" w:after="240"/>
        <w:rPr>
          <w:rFonts w:eastAsia="Times New Roman"/>
          <w:lang w:eastAsia="it-IT"/>
        </w:rPr>
      </w:pPr>
      <w:r w:rsidRPr="007B48BE">
        <w:rPr>
          <w:rFonts w:eastAsia="Times New Roman"/>
          <w:lang w:eastAsia="it-IT"/>
        </w:rPr>
        <w:t xml:space="preserve">Il primo strumento, attraverso </w:t>
      </w:r>
      <w:r w:rsidR="0082259B">
        <w:rPr>
          <w:rFonts w:eastAsia="Times New Roman"/>
          <w:lang w:eastAsia="it-IT"/>
        </w:rPr>
        <w:t>il</w:t>
      </w:r>
      <w:r w:rsidRPr="007B48BE">
        <w:rPr>
          <w:rFonts w:eastAsia="Times New Roman"/>
          <w:lang w:eastAsia="it-IT"/>
        </w:rPr>
        <w:t xml:space="preserve"> quale le organizzazioni pubbliche o private si impegnano a fare propri i principi di gender equality, </w:t>
      </w:r>
      <w:r w:rsidR="0082259B" w:rsidRPr="0082259B">
        <w:rPr>
          <w:rFonts w:eastAsia="Times New Roman"/>
          <w:lang w:eastAsia="it-IT"/>
        </w:rPr>
        <w:t>è la Policy di Genere</w:t>
      </w:r>
      <w:r w:rsidR="0082259B">
        <w:rPr>
          <w:rFonts w:eastAsia="Times New Roman"/>
          <w:lang w:eastAsia="it-IT"/>
        </w:rPr>
        <w:t>.</w:t>
      </w:r>
      <w:r w:rsidR="000F6FAF">
        <w:rPr>
          <w:rFonts w:eastAsia="Times New Roman"/>
          <w:lang w:eastAsia="it-IT"/>
        </w:rPr>
        <w:t xml:space="preserve"> Tali principi sono considerati</w:t>
      </w:r>
      <w:r w:rsidRPr="007B48BE">
        <w:rPr>
          <w:rFonts w:eastAsia="Times New Roman"/>
          <w:lang w:eastAsia="it-IT"/>
        </w:rPr>
        <w:t xml:space="preserve"> sull’intero percorso professionale e fasi di vita delle lavoratrici, dal momento del recruiting fino al pensionamento, nell’obiettivo non solo di aumentare la presenza femminile all’interno del contesto lavorativo ma anche di garantire pari opportunità di carriera, fino ai più importanti ruoli apicali, pari trattamento economico, condizioni di work-life balance adeguate alle diverse fasi di vita e proattive nel riequilibrio dei carichi familiari tra uomini e donne, nonché un ambiente di lavoro che rifiuti stereotipi, discriminazioni, molestie e proponga invece una cultura della diversità e dell’inclusione.</w:t>
      </w:r>
    </w:p>
    <w:p w14:paraId="231D9DC5" w14:textId="77777777" w:rsidR="00C0164D" w:rsidRDefault="007B48BE" w:rsidP="007B48BE">
      <w:pPr>
        <w:spacing w:before="240" w:after="240"/>
        <w:rPr>
          <w:rFonts w:eastAsia="Times New Roman"/>
          <w:lang w:eastAsia="it-IT"/>
        </w:rPr>
      </w:pPr>
      <w:r w:rsidRPr="007B48BE">
        <w:rPr>
          <w:rFonts w:eastAsia="Times New Roman"/>
          <w:lang w:eastAsia="it-IT"/>
        </w:rPr>
        <w:t xml:space="preserve">Attraverso l’adozione della Policy di Genere, l’organizzazione pubblica o privata è in grado di definire una mappa di tutte le fasi del processo su cui si richiede l’impegno per la parità di genere, identificando un vero e proprio piano di azione, con obiettivi precisi e un orizzonte temporale definito. </w:t>
      </w:r>
    </w:p>
    <w:p w14:paraId="65A64D95" w14:textId="28D01420" w:rsidR="005143C6" w:rsidRDefault="00FE6FDA" w:rsidP="001434E6">
      <w:pPr>
        <w:spacing w:before="240" w:after="240"/>
        <w:rPr>
          <w:rFonts w:eastAsia="Times New Roman"/>
          <w:lang w:eastAsia="it-IT"/>
        </w:rPr>
      </w:pPr>
      <w:r>
        <w:rPr>
          <w:rFonts w:eastAsia="Times New Roman"/>
          <w:lang w:eastAsia="it-IT"/>
        </w:rPr>
        <w:lastRenderedPageBreak/>
        <w:t>Altro strumento fondamentale è quello del già citato “gender mainstre</w:t>
      </w:r>
      <w:r w:rsidR="00072288">
        <w:rPr>
          <w:rFonts w:eastAsia="Times New Roman"/>
          <w:lang w:eastAsia="it-IT"/>
        </w:rPr>
        <w:t>aming” consistente nell’integrazione della dimensione di genere nella strategia e nelle politiche aziendali</w:t>
      </w:r>
      <w:r w:rsidR="004C2D96">
        <w:rPr>
          <w:rFonts w:eastAsia="Times New Roman"/>
          <w:lang w:eastAsia="it-IT"/>
        </w:rPr>
        <w:t xml:space="preserve"> con l’obiettivo di rendere </w:t>
      </w:r>
      <w:r w:rsidR="000A6D0C" w:rsidRPr="000A6D0C">
        <w:rPr>
          <w:rFonts w:eastAsia="Times New Roman"/>
          <w:lang w:eastAsia="it-IT"/>
        </w:rPr>
        <w:t>l'uguaglianza di genere una questione centrale nelle politiche e nelle pratiche, non semplicemente un aspetto aggiuntivo. </w:t>
      </w:r>
      <w:r w:rsidR="001434E6">
        <w:rPr>
          <w:rFonts w:eastAsia="Times New Roman"/>
          <w:lang w:eastAsia="it-IT"/>
        </w:rPr>
        <w:t>Tale approccio strategico si realizza</w:t>
      </w:r>
      <w:r w:rsidR="005143C6">
        <w:rPr>
          <w:rFonts w:eastAsia="Times New Roman"/>
          <w:lang w:eastAsia="it-IT"/>
        </w:rPr>
        <w:t xml:space="preserve"> attraverso diverse fasi</w:t>
      </w:r>
      <w:r w:rsidR="005F214A">
        <w:rPr>
          <w:rStyle w:val="Rimandonotaapidipagina"/>
          <w:rFonts w:eastAsia="Times New Roman"/>
          <w:lang w:eastAsia="it-IT"/>
        </w:rPr>
        <w:footnoteReference w:id="25"/>
      </w:r>
      <w:r w:rsidR="00512306">
        <w:rPr>
          <w:rFonts w:eastAsia="Times New Roman"/>
          <w:lang w:eastAsia="it-IT"/>
        </w:rPr>
        <w:t>:</w:t>
      </w:r>
    </w:p>
    <w:p w14:paraId="7007CF52" w14:textId="29994330" w:rsidR="00512306" w:rsidRPr="00512306" w:rsidRDefault="004D256C" w:rsidP="00512306">
      <w:pPr>
        <w:pStyle w:val="Paragrafoelenco"/>
        <w:numPr>
          <w:ilvl w:val="0"/>
          <w:numId w:val="25"/>
        </w:numPr>
        <w:spacing w:after="0"/>
        <w:rPr>
          <w:rFonts w:eastAsia="Times New Roman"/>
          <w:b w:val="0"/>
          <w:lang w:eastAsia="it-IT"/>
        </w:rPr>
      </w:pPr>
      <w:r w:rsidRPr="00512306">
        <w:rPr>
          <w:rFonts w:eastAsia="Times New Roman"/>
          <w:b w:val="0"/>
          <w:lang w:eastAsia="it-IT"/>
        </w:rPr>
        <w:t xml:space="preserve">Analisi del </w:t>
      </w:r>
      <w:r w:rsidR="0018236E" w:rsidRPr="00512306">
        <w:rPr>
          <w:rFonts w:eastAsia="Times New Roman"/>
          <w:b w:val="0"/>
          <w:lang w:eastAsia="it-IT"/>
        </w:rPr>
        <w:t>contesto dell’ente</w:t>
      </w:r>
      <w:r w:rsidR="0074272E">
        <w:rPr>
          <w:rFonts w:eastAsia="Times New Roman"/>
          <w:b w:val="0"/>
          <w:lang w:eastAsia="it-IT"/>
        </w:rPr>
        <w:t xml:space="preserve"> (politiche e procedure interne, iniziative di parità adottate</w:t>
      </w:r>
      <w:r w:rsidR="009225AD">
        <w:rPr>
          <w:rFonts w:eastAsia="Times New Roman"/>
          <w:b w:val="0"/>
          <w:lang w:eastAsia="it-IT"/>
        </w:rPr>
        <w:t xml:space="preserve">, servizi alla collettività e attività pubbliche svolte, </w:t>
      </w:r>
      <w:proofErr w:type="spellStart"/>
      <w:r w:rsidR="009225AD">
        <w:rPr>
          <w:rFonts w:eastAsia="Times New Roman"/>
          <w:b w:val="0"/>
          <w:lang w:eastAsia="it-IT"/>
        </w:rPr>
        <w:t>ecc</w:t>
      </w:r>
      <w:proofErr w:type="spellEnd"/>
      <w:r w:rsidR="009225AD">
        <w:rPr>
          <w:rFonts w:eastAsia="Times New Roman"/>
          <w:b w:val="0"/>
          <w:lang w:eastAsia="it-IT"/>
        </w:rPr>
        <w:t>…</w:t>
      </w:r>
      <w:r w:rsidR="0074272E">
        <w:rPr>
          <w:rFonts w:eastAsia="Times New Roman"/>
          <w:b w:val="0"/>
          <w:lang w:eastAsia="it-IT"/>
        </w:rPr>
        <w:t>)</w:t>
      </w:r>
      <w:r w:rsidR="00F53FF2">
        <w:rPr>
          <w:rFonts w:eastAsia="Times New Roman"/>
          <w:b w:val="0"/>
          <w:lang w:eastAsia="it-IT"/>
        </w:rPr>
        <w:t>.</w:t>
      </w:r>
    </w:p>
    <w:p w14:paraId="6360E36F" w14:textId="67541768" w:rsidR="004D256C" w:rsidRPr="004D256C" w:rsidRDefault="004D256C" w:rsidP="00512306">
      <w:pPr>
        <w:pStyle w:val="Paragrafoelenco"/>
        <w:numPr>
          <w:ilvl w:val="0"/>
          <w:numId w:val="25"/>
        </w:numPr>
        <w:spacing w:after="0"/>
        <w:rPr>
          <w:rFonts w:eastAsia="Times New Roman"/>
          <w:b w:val="0"/>
          <w:lang w:eastAsia="it-IT"/>
        </w:rPr>
      </w:pPr>
      <w:r w:rsidRPr="004D256C">
        <w:rPr>
          <w:rFonts w:eastAsia="Times New Roman"/>
          <w:b w:val="0"/>
          <w:lang w:eastAsia="it-IT"/>
        </w:rPr>
        <w:t>Definizione di obiettivi di uguaglianza di genere da raggiungere</w:t>
      </w:r>
      <w:r w:rsidR="00F53FF2">
        <w:rPr>
          <w:rFonts w:eastAsia="Times New Roman"/>
          <w:b w:val="0"/>
          <w:lang w:eastAsia="it-IT"/>
        </w:rPr>
        <w:t>.</w:t>
      </w:r>
    </w:p>
    <w:p w14:paraId="489C6858" w14:textId="011AE27A" w:rsidR="00E10D6A" w:rsidRDefault="003014C3" w:rsidP="00512306">
      <w:pPr>
        <w:numPr>
          <w:ilvl w:val="0"/>
          <w:numId w:val="25"/>
        </w:numPr>
        <w:rPr>
          <w:rFonts w:eastAsia="Times New Roman"/>
          <w:lang w:eastAsia="it-IT"/>
        </w:rPr>
      </w:pPr>
      <w:r>
        <w:rPr>
          <w:rFonts w:eastAsia="Times New Roman"/>
          <w:lang w:eastAsia="it-IT"/>
        </w:rPr>
        <w:t xml:space="preserve">Identificazione di </w:t>
      </w:r>
      <w:r w:rsidR="00663488">
        <w:rPr>
          <w:rFonts w:eastAsia="Times New Roman"/>
          <w:lang w:eastAsia="it-IT"/>
        </w:rPr>
        <w:t>possibili interventi o servizi da attuare per favorire l’equilibrio di genere</w:t>
      </w:r>
      <w:r w:rsidR="00E10D6A">
        <w:rPr>
          <w:rFonts w:eastAsia="Times New Roman"/>
          <w:lang w:eastAsia="it-IT"/>
        </w:rPr>
        <w:t xml:space="preserve"> sia all’interno dell’ente che nelle attività pubbliche svolte e nei servizi pubblici resi alla comunit</w:t>
      </w:r>
      <w:r w:rsidR="00F53FF2">
        <w:rPr>
          <w:rFonts w:eastAsia="Times New Roman"/>
          <w:lang w:eastAsia="it-IT"/>
        </w:rPr>
        <w:t>à.</w:t>
      </w:r>
    </w:p>
    <w:p w14:paraId="170210B0" w14:textId="27540B47" w:rsidR="004D256C" w:rsidRPr="004D256C" w:rsidRDefault="00F53FF2" w:rsidP="00512306">
      <w:pPr>
        <w:numPr>
          <w:ilvl w:val="0"/>
          <w:numId w:val="25"/>
        </w:numPr>
        <w:rPr>
          <w:rFonts w:eastAsia="Times New Roman"/>
          <w:lang w:eastAsia="it-IT"/>
        </w:rPr>
      </w:pPr>
      <w:r>
        <w:rPr>
          <w:rFonts w:eastAsia="Times New Roman"/>
          <w:lang w:eastAsia="it-IT"/>
        </w:rPr>
        <w:t>I</w:t>
      </w:r>
      <w:r w:rsidR="004D256C" w:rsidRPr="004D256C">
        <w:rPr>
          <w:rFonts w:eastAsia="Times New Roman"/>
          <w:lang w:eastAsia="it-IT"/>
        </w:rPr>
        <w:t>ndividuazione de</w:t>
      </w:r>
      <w:r w:rsidR="00663488">
        <w:rPr>
          <w:rFonts w:eastAsia="Times New Roman"/>
          <w:lang w:eastAsia="it-IT"/>
        </w:rPr>
        <w:t>gli impatti e</w:t>
      </w:r>
      <w:r w:rsidR="004D256C" w:rsidRPr="004D256C">
        <w:rPr>
          <w:rFonts w:eastAsia="Times New Roman"/>
          <w:lang w:eastAsia="it-IT"/>
        </w:rPr>
        <w:t xml:space="preserve"> possibili conseguenze </w:t>
      </w:r>
      <w:r w:rsidR="00317366">
        <w:rPr>
          <w:rFonts w:eastAsia="Times New Roman"/>
          <w:lang w:eastAsia="it-IT"/>
        </w:rPr>
        <w:t xml:space="preserve">di tali iniziative </w:t>
      </w:r>
      <w:r w:rsidR="00A760CA">
        <w:rPr>
          <w:rFonts w:eastAsia="Times New Roman"/>
          <w:lang w:eastAsia="it-IT"/>
        </w:rPr>
        <w:t xml:space="preserve">e </w:t>
      </w:r>
      <w:r w:rsidR="00317366">
        <w:rPr>
          <w:rFonts w:eastAsia="Times New Roman"/>
          <w:lang w:eastAsia="it-IT"/>
        </w:rPr>
        <w:t>servizi</w:t>
      </w:r>
      <w:r w:rsidR="004D256C" w:rsidRPr="004D256C">
        <w:rPr>
          <w:rFonts w:eastAsia="Times New Roman"/>
          <w:lang w:eastAsia="it-IT"/>
        </w:rPr>
        <w:t xml:space="preserve"> </w:t>
      </w:r>
      <w:r w:rsidR="00CB1C69">
        <w:rPr>
          <w:rFonts w:eastAsia="Times New Roman"/>
          <w:lang w:eastAsia="it-IT"/>
        </w:rPr>
        <w:t xml:space="preserve">in ottica di genere (valutazione degli impatti effettivi su </w:t>
      </w:r>
      <w:r>
        <w:rPr>
          <w:rFonts w:eastAsia="Times New Roman"/>
          <w:lang w:eastAsia="it-IT"/>
        </w:rPr>
        <w:t xml:space="preserve">uomini e </w:t>
      </w:r>
      <w:r w:rsidR="00CB1C69">
        <w:rPr>
          <w:rFonts w:eastAsia="Times New Roman"/>
          <w:lang w:eastAsia="it-IT"/>
        </w:rPr>
        <w:t xml:space="preserve">su </w:t>
      </w:r>
      <w:r>
        <w:rPr>
          <w:rFonts w:eastAsia="Times New Roman"/>
          <w:lang w:eastAsia="it-IT"/>
        </w:rPr>
        <w:t>donne</w:t>
      </w:r>
      <w:r w:rsidR="00CB1C69">
        <w:rPr>
          <w:rFonts w:eastAsia="Times New Roman"/>
          <w:lang w:eastAsia="it-IT"/>
        </w:rPr>
        <w:t>)</w:t>
      </w:r>
      <w:r>
        <w:rPr>
          <w:rFonts w:eastAsia="Times New Roman"/>
          <w:lang w:eastAsia="it-IT"/>
        </w:rPr>
        <w:t>.</w:t>
      </w:r>
    </w:p>
    <w:p w14:paraId="4546F0FA" w14:textId="07F556EB" w:rsidR="004D256C" w:rsidRDefault="004D256C" w:rsidP="00512306">
      <w:pPr>
        <w:numPr>
          <w:ilvl w:val="0"/>
          <w:numId w:val="25"/>
        </w:numPr>
        <w:rPr>
          <w:rFonts w:eastAsia="Times New Roman"/>
          <w:lang w:eastAsia="it-IT"/>
        </w:rPr>
      </w:pPr>
      <w:r w:rsidRPr="004D256C">
        <w:rPr>
          <w:rFonts w:eastAsia="Times New Roman"/>
          <w:lang w:eastAsia="it-IT"/>
        </w:rPr>
        <w:t xml:space="preserve">Monitoraggio </w:t>
      </w:r>
      <w:r w:rsidR="00B9797F">
        <w:rPr>
          <w:rFonts w:eastAsia="Times New Roman"/>
          <w:lang w:eastAsia="it-IT"/>
        </w:rPr>
        <w:t>dei</w:t>
      </w:r>
      <w:r w:rsidR="00AC08D3">
        <w:rPr>
          <w:rFonts w:eastAsia="Times New Roman"/>
          <w:lang w:eastAsia="it-IT"/>
        </w:rPr>
        <w:t xml:space="preserve"> soggetti beneficiati </w:t>
      </w:r>
      <w:r w:rsidRPr="004D256C">
        <w:rPr>
          <w:rFonts w:eastAsia="Times New Roman"/>
          <w:lang w:eastAsia="it-IT"/>
        </w:rPr>
        <w:t>(anche disaggregati per genere</w:t>
      </w:r>
      <w:r w:rsidR="00B9797F">
        <w:rPr>
          <w:rFonts w:eastAsia="Times New Roman"/>
          <w:lang w:eastAsia="it-IT"/>
        </w:rPr>
        <w:t>).</w:t>
      </w:r>
    </w:p>
    <w:p w14:paraId="105D6DF1" w14:textId="7F6EEDC3" w:rsidR="004D256C" w:rsidRPr="00F13AEF" w:rsidRDefault="005F214A" w:rsidP="00F13AEF">
      <w:pPr>
        <w:numPr>
          <w:ilvl w:val="0"/>
          <w:numId w:val="25"/>
        </w:numPr>
        <w:spacing w:after="120"/>
        <w:ind w:left="714" w:hanging="357"/>
        <w:rPr>
          <w:rFonts w:eastAsia="Times New Roman"/>
          <w:lang w:eastAsia="it-IT"/>
        </w:rPr>
      </w:pPr>
      <w:r>
        <w:rPr>
          <w:rFonts w:eastAsia="Times New Roman"/>
          <w:lang w:eastAsia="it-IT"/>
        </w:rPr>
        <w:t xml:space="preserve">Valutazione </w:t>
      </w:r>
      <w:r w:rsidR="00AC08D3" w:rsidRPr="00AC08D3">
        <w:rPr>
          <w:rFonts w:eastAsia="Times New Roman"/>
          <w:lang w:eastAsia="it-IT"/>
        </w:rPr>
        <w:t>ex-post degli effetti dell’intervento in una prospettiva di genere</w:t>
      </w:r>
      <w:r>
        <w:rPr>
          <w:rFonts w:eastAsia="Times New Roman"/>
          <w:lang w:eastAsia="it-IT"/>
        </w:rPr>
        <w:t>.</w:t>
      </w:r>
    </w:p>
    <w:p w14:paraId="583C7736" w14:textId="6016A427" w:rsidR="007B48BE" w:rsidRDefault="007B48BE" w:rsidP="00F13AEF">
      <w:pPr>
        <w:spacing w:before="240"/>
        <w:rPr>
          <w:rFonts w:eastAsia="Times New Roman"/>
          <w:lang w:eastAsia="it-IT"/>
        </w:rPr>
      </w:pPr>
      <w:r w:rsidRPr="007B48BE">
        <w:rPr>
          <w:rFonts w:eastAsia="Times New Roman"/>
          <w:lang w:eastAsia="it-IT"/>
        </w:rPr>
        <w:t xml:space="preserve">Per fissare gli obiettivi e misurare i progressi necessari al raggiungimento dei risultati desiderati </w:t>
      </w:r>
      <w:r w:rsidR="007B68C1">
        <w:rPr>
          <w:rFonts w:eastAsia="Times New Roman"/>
          <w:lang w:eastAsia="it-IT"/>
        </w:rPr>
        <w:t xml:space="preserve">in merito alla VIG </w:t>
      </w:r>
      <w:r w:rsidR="006D6A16">
        <w:rPr>
          <w:rFonts w:eastAsia="Times New Roman"/>
          <w:lang w:eastAsia="it-IT"/>
        </w:rPr>
        <w:t xml:space="preserve">la </w:t>
      </w:r>
      <w:r w:rsidR="0097706A">
        <w:rPr>
          <w:rFonts w:eastAsia="Times New Roman"/>
          <w:lang w:eastAsia="it-IT"/>
        </w:rPr>
        <w:t xml:space="preserve">presente prassi </w:t>
      </w:r>
      <w:r w:rsidR="00FE6AA3">
        <w:rPr>
          <w:rFonts w:eastAsia="Times New Roman"/>
          <w:lang w:eastAsia="it-IT"/>
        </w:rPr>
        <w:t>individua degli</w:t>
      </w:r>
      <w:r w:rsidRPr="007B48BE">
        <w:rPr>
          <w:rFonts w:eastAsia="Times New Roman"/>
          <w:lang w:eastAsia="it-IT"/>
        </w:rPr>
        <w:t xml:space="preserve"> indicatori (KPI)</w:t>
      </w:r>
      <w:r w:rsidR="00B67EF0" w:rsidRPr="00B67EF0">
        <w:t xml:space="preserve"> </w:t>
      </w:r>
      <w:r w:rsidR="00B67EF0" w:rsidRPr="00B67EF0">
        <w:rPr>
          <w:rFonts w:eastAsia="Times New Roman"/>
          <w:lang w:eastAsia="it-IT"/>
        </w:rPr>
        <w:t>costruiti secondo standard riconosciuti</w:t>
      </w:r>
      <w:r w:rsidR="005E0561">
        <w:rPr>
          <w:rFonts w:eastAsia="Times New Roman"/>
          <w:lang w:eastAsia="it-IT"/>
        </w:rPr>
        <w:t xml:space="preserve">, </w:t>
      </w:r>
      <w:r w:rsidR="00B67EF0" w:rsidRPr="00B67EF0">
        <w:rPr>
          <w:rFonts w:eastAsia="Times New Roman"/>
          <w:lang w:eastAsia="it-IT"/>
        </w:rPr>
        <w:t>diffusi</w:t>
      </w:r>
      <w:r w:rsidR="005E0561">
        <w:rPr>
          <w:rFonts w:eastAsia="Times New Roman"/>
          <w:lang w:eastAsia="it-IT"/>
        </w:rPr>
        <w:t xml:space="preserve"> e</w:t>
      </w:r>
      <w:r w:rsidR="00B67EF0" w:rsidRPr="00B67EF0">
        <w:rPr>
          <w:rFonts w:eastAsia="Times New Roman"/>
          <w:lang w:eastAsia="it-IT"/>
        </w:rPr>
        <w:t xml:space="preserve"> ispirati a </w:t>
      </w:r>
      <w:r w:rsidR="00B67EF0">
        <w:rPr>
          <w:rFonts w:eastAsia="Times New Roman"/>
          <w:lang w:eastAsia="it-IT"/>
        </w:rPr>
        <w:t>buone pratiche</w:t>
      </w:r>
      <w:r w:rsidR="00B67EF0" w:rsidRPr="00B67EF0">
        <w:rPr>
          <w:rFonts w:eastAsia="Times New Roman"/>
          <w:lang w:eastAsia="it-IT"/>
        </w:rPr>
        <w:t xml:space="preserve"> nazionali e internazionali</w:t>
      </w:r>
      <w:r w:rsidR="003C7E10">
        <w:rPr>
          <w:rFonts w:eastAsia="Times New Roman"/>
          <w:lang w:eastAsia="it-IT"/>
        </w:rPr>
        <w:t>. Tali indicatori</w:t>
      </w:r>
      <w:r w:rsidR="005E0561">
        <w:rPr>
          <w:rFonts w:eastAsia="Times New Roman"/>
          <w:lang w:eastAsia="it-IT"/>
        </w:rPr>
        <w:t>, per essere efficaci</w:t>
      </w:r>
      <w:r w:rsidR="007B68C1">
        <w:rPr>
          <w:rFonts w:eastAsia="Times New Roman"/>
          <w:lang w:eastAsia="it-IT"/>
        </w:rPr>
        <w:t xml:space="preserve">, </w:t>
      </w:r>
      <w:r w:rsidR="003C7E10">
        <w:rPr>
          <w:rFonts w:eastAsia="Times New Roman"/>
          <w:lang w:eastAsia="it-IT"/>
        </w:rPr>
        <w:t>sono</w:t>
      </w:r>
      <w:r w:rsidRPr="007B48BE">
        <w:rPr>
          <w:rFonts w:eastAsia="Times New Roman"/>
          <w:lang w:eastAsia="it-IT"/>
        </w:rPr>
        <w:t xml:space="preserve"> caratterizzati dall’essere percorribili, pertinenti</w:t>
      </w:r>
      <w:r w:rsidR="00EB1C08">
        <w:rPr>
          <w:rFonts w:eastAsia="Times New Roman"/>
          <w:lang w:eastAsia="it-IT"/>
        </w:rPr>
        <w:t>,</w:t>
      </w:r>
      <w:r w:rsidRPr="007B48BE">
        <w:rPr>
          <w:rFonts w:eastAsia="Times New Roman"/>
          <w:lang w:eastAsia="it-IT"/>
        </w:rPr>
        <w:t xml:space="preserve"> confrontabili</w:t>
      </w:r>
      <w:r w:rsidR="00EB1C08">
        <w:rPr>
          <w:rFonts w:eastAsia="Times New Roman"/>
          <w:lang w:eastAsia="it-IT"/>
        </w:rPr>
        <w:t>,</w:t>
      </w:r>
      <w:r w:rsidR="00FE6AA3">
        <w:rPr>
          <w:rFonts w:eastAsia="Times New Roman"/>
          <w:lang w:eastAsia="it-IT"/>
        </w:rPr>
        <w:t xml:space="preserve"> </w:t>
      </w:r>
      <w:r w:rsidR="00EB1C08">
        <w:rPr>
          <w:rFonts w:eastAsia="Times New Roman"/>
          <w:lang w:eastAsia="it-IT"/>
        </w:rPr>
        <w:t>f</w:t>
      </w:r>
      <w:r w:rsidRPr="007B48BE">
        <w:rPr>
          <w:rFonts w:eastAsia="Times New Roman"/>
          <w:lang w:eastAsia="it-IT"/>
        </w:rPr>
        <w:t>acili da raccogliere e monitorare</w:t>
      </w:r>
      <w:r w:rsidR="00B67EF0">
        <w:rPr>
          <w:rFonts w:eastAsia="Times New Roman"/>
          <w:lang w:eastAsia="it-IT"/>
        </w:rPr>
        <w:t xml:space="preserve"> ed infine </w:t>
      </w:r>
      <w:r w:rsidRPr="007B48BE">
        <w:rPr>
          <w:rFonts w:eastAsia="Times New Roman"/>
          <w:lang w:eastAsia="it-IT"/>
        </w:rPr>
        <w:t>capaci di cogliere le specifiche dimensioni sotto osservazione</w:t>
      </w:r>
      <w:r w:rsidR="003C7E10">
        <w:rPr>
          <w:rFonts w:eastAsia="Times New Roman"/>
          <w:lang w:eastAsia="it-IT"/>
        </w:rPr>
        <w:t xml:space="preserve"> (vedere punto 7)</w:t>
      </w:r>
      <w:r w:rsidRPr="007B48BE">
        <w:rPr>
          <w:rFonts w:eastAsia="Times New Roman"/>
          <w:lang w:eastAsia="it-IT"/>
        </w:rPr>
        <w:t>.</w:t>
      </w:r>
    </w:p>
    <w:p w14:paraId="7A7E4B0E" w14:textId="77777777" w:rsidR="00F13AEF" w:rsidRPr="007B48BE" w:rsidRDefault="00F13AEF" w:rsidP="00F13AEF">
      <w:pPr>
        <w:rPr>
          <w:rFonts w:eastAsia="Times New Roman"/>
          <w:lang w:eastAsia="it-IT"/>
        </w:rPr>
      </w:pPr>
    </w:p>
    <w:p w14:paraId="411EA621" w14:textId="192284F4" w:rsidR="00174466" w:rsidRPr="00174466" w:rsidRDefault="00ED21A1" w:rsidP="00174466">
      <w:pPr>
        <w:pStyle w:val="Titolo1"/>
        <w:rPr>
          <w:rFonts w:eastAsia="Arial Unicode MS" w:cs="Arial"/>
        </w:rPr>
      </w:pPr>
      <w:bookmarkStart w:id="42" w:name="_Toc201141704"/>
      <w:r>
        <w:rPr>
          <w:rFonts w:eastAsia="Arial Unicode MS" w:cs="Arial"/>
        </w:rPr>
        <w:t xml:space="preserve">ANALISI </w:t>
      </w:r>
      <w:r w:rsidR="00FA5240">
        <w:rPr>
          <w:rFonts w:eastAsia="Arial Unicode MS" w:cs="Arial"/>
        </w:rPr>
        <w:t>DEL CONTESTO</w:t>
      </w:r>
      <w:bookmarkEnd w:id="42"/>
    </w:p>
    <w:p w14:paraId="2E02A877" w14:textId="77777777" w:rsidR="00A80809" w:rsidRPr="00A80809" w:rsidRDefault="00A80809" w:rsidP="00A80809">
      <w:r w:rsidRPr="00A80809">
        <w:t>L’analisi delle finanze dei comuni, province, città metropolitane e altri enti territoriali effettuata sui dati estratti dalla banca dati “Analisi informatizzata dei bilanci della Pubblica Amministrazione locale” (AIDA PA), consente di definire l’allocazione delle risorse pubbliche e il loro impatto sui rispettivi territori.</w:t>
      </w:r>
    </w:p>
    <w:p w14:paraId="5C895EF5" w14:textId="77777777" w:rsidR="00E80E5D" w:rsidRDefault="00A80809" w:rsidP="00A80809">
      <w:r w:rsidRPr="00A80809">
        <w:t xml:space="preserve">Sono stati evidenziati due dataset da AIDA PA con un </w:t>
      </w:r>
      <w:proofErr w:type="spellStart"/>
      <w:r w:rsidRPr="00A80809">
        <w:t>cut</w:t>
      </w:r>
      <w:proofErr w:type="spellEnd"/>
      <w:r w:rsidRPr="00A80809">
        <w:t>-off al 31/12/2024</w:t>
      </w:r>
      <w:r w:rsidR="00E80E5D">
        <w:t>:</w:t>
      </w:r>
    </w:p>
    <w:p w14:paraId="69FD665E" w14:textId="77777777" w:rsidR="00E80E5D" w:rsidRDefault="00A80809" w:rsidP="00E80E5D">
      <w:pPr>
        <w:pStyle w:val="Paragrafoelenco"/>
        <w:numPr>
          <w:ilvl w:val="0"/>
          <w:numId w:val="19"/>
        </w:numPr>
        <w:rPr>
          <w:b w:val="0"/>
          <w:bCs/>
        </w:rPr>
      </w:pPr>
      <w:r w:rsidRPr="00E80E5D">
        <w:rPr>
          <w:b w:val="0"/>
          <w:bCs/>
        </w:rPr>
        <w:t>Il primo, relativo ai comuni, comprende 7.863 enti, coprendo il 99,6% del totale nazionale di 7.897 comuni</w:t>
      </w:r>
      <w:r w:rsidR="00E80E5D" w:rsidRPr="00E80E5D">
        <w:rPr>
          <w:rStyle w:val="Rimandonotaapidipagina"/>
          <w:b w:val="0"/>
          <w:bCs/>
        </w:rPr>
        <w:footnoteReference w:id="26"/>
      </w:r>
      <w:r w:rsidRPr="00E80E5D">
        <w:rPr>
          <w:b w:val="0"/>
          <w:bCs/>
        </w:rPr>
        <w:t xml:space="preserve">. </w:t>
      </w:r>
    </w:p>
    <w:p w14:paraId="3705A1A5" w14:textId="6E2628F6" w:rsidR="00A80809" w:rsidRPr="00E80E5D" w:rsidRDefault="00A80809" w:rsidP="00E80E5D">
      <w:pPr>
        <w:pStyle w:val="Paragrafoelenco"/>
        <w:numPr>
          <w:ilvl w:val="0"/>
          <w:numId w:val="19"/>
        </w:numPr>
        <w:rPr>
          <w:b w:val="0"/>
          <w:bCs/>
        </w:rPr>
      </w:pPr>
      <w:r w:rsidRPr="00E80E5D">
        <w:rPr>
          <w:b w:val="0"/>
          <w:bCs/>
        </w:rPr>
        <w:t>Il secondo, relativo a province e città metropolitane, include 101 enti, corrispondente al 95,2% delle 92 province e 14 città metropolitane italiane</w:t>
      </w:r>
      <w:r w:rsidR="00E80E5D">
        <w:rPr>
          <w:rStyle w:val="Rimandonotaapidipagina"/>
          <w:b w:val="0"/>
          <w:bCs/>
        </w:rPr>
        <w:footnoteReference w:id="27"/>
      </w:r>
    </w:p>
    <w:p w14:paraId="06AD326D" w14:textId="77777777" w:rsidR="00770E73" w:rsidRDefault="00A80809" w:rsidP="00A80809">
      <w:r w:rsidRPr="00A80809">
        <w:t xml:space="preserve">Per entrambi i dataset, sono stati analizzati i seguenti parametri: </w:t>
      </w:r>
    </w:p>
    <w:p w14:paraId="4B6076CA" w14:textId="7F79C10B" w:rsidR="00770E73" w:rsidRPr="008F2220" w:rsidRDefault="00A80809" w:rsidP="008F2220">
      <w:pPr>
        <w:pStyle w:val="Paragrafoelenco"/>
        <w:numPr>
          <w:ilvl w:val="0"/>
          <w:numId w:val="20"/>
        </w:numPr>
        <w:rPr>
          <w:b w:val="0"/>
          <w:bCs/>
        </w:rPr>
      </w:pPr>
      <w:r w:rsidRPr="008F2220">
        <w:rPr>
          <w:b w:val="0"/>
          <w:bCs/>
        </w:rPr>
        <w:t xml:space="preserve">la popolazione residente </w:t>
      </w:r>
      <w:r w:rsidR="00F03B93">
        <w:rPr>
          <w:b w:val="0"/>
          <w:bCs/>
        </w:rPr>
        <w:t>dell’</w:t>
      </w:r>
      <w:r w:rsidRPr="008F2220">
        <w:rPr>
          <w:b w:val="0"/>
          <w:bCs/>
        </w:rPr>
        <w:t>ultimo anno disponibile</w:t>
      </w:r>
      <w:r w:rsidR="00033CC2" w:rsidRPr="008F2220">
        <w:rPr>
          <w:b w:val="0"/>
          <w:bCs/>
        </w:rPr>
        <w:t>;</w:t>
      </w:r>
      <w:r w:rsidRPr="008F2220">
        <w:rPr>
          <w:b w:val="0"/>
          <w:bCs/>
        </w:rPr>
        <w:t xml:space="preserve"> </w:t>
      </w:r>
    </w:p>
    <w:p w14:paraId="3FE2B5CF" w14:textId="0CD0374A" w:rsidR="00770E73" w:rsidRPr="008F2220" w:rsidRDefault="00A80809" w:rsidP="008F2220">
      <w:pPr>
        <w:pStyle w:val="Paragrafoelenco"/>
        <w:numPr>
          <w:ilvl w:val="0"/>
          <w:numId w:val="20"/>
        </w:numPr>
        <w:rPr>
          <w:b w:val="0"/>
          <w:bCs/>
        </w:rPr>
      </w:pPr>
      <w:r w:rsidRPr="008F2220">
        <w:rPr>
          <w:b w:val="0"/>
          <w:bCs/>
        </w:rPr>
        <w:t>la spesa corrente pro-capite</w:t>
      </w:r>
      <w:r w:rsidR="00F03B93">
        <w:rPr>
          <w:b w:val="0"/>
          <w:bCs/>
        </w:rPr>
        <w:t xml:space="preserve"> </w:t>
      </w:r>
      <w:r w:rsidRPr="008F2220">
        <w:rPr>
          <w:b w:val="0"/>
          <w:bCs/>
        </w:rPr>
        <w:t>calcolata come media dei tre anni precedenti</w:t>
      </w:r>
      <w:r w:rsidR="00033CC2" w:rsidRPr="008F2220">
        <w:rPr>
          <w:b w:val="0"/>
          <w:bCs/>
        </w:rPr>
        <w:t>;</w:t>
      </w:r>
    </w:p>
    <w:p w14:paraId="6E16FB33" w14:textId="409048F8" w:rsidR="00A80809" w:rsidRPr="008F2220" w:rsidRDefault="00A80809" w:rsidP="008F2220">
      <w:pPr>
        <w:pStyle w:val="Paragrafoelenco"/>
        <w:numPr>
          <w:ilvl w:val="0"/>
          <w:numId w:val="20"/>
        </w:numPr>
        <w:rPr>
          <w:b w:val="0"/>
          <w:bCs/>
        </w:rPr>
      </w:pPr>
      <w:r w:rsidRPr="008F2220">
        <w:rPr>
          <w:b w:val="0"/>
          <w:bCs/>
        </w:rPr>
        <w:t xml:space="preserve">la spesa in conto capitale pro-capite </w:t>
      </w:r>
      <w:r w:rsidR="00F03B93" w:rsidRPr="00F03B93">
        <w:rPr>
          <w:b w:val="0"/>
          <w:bCs/>
        </w:rPr>
        <w:t>come media dei tre anni precedenti</w:t>
      </w:r>
      <w:r w:rsidRPr="008F2220">
        <w:rPr>
          <w:b w:val="0"/>
          <w:bCs/>
        </w:rPr>
        <w:t>.</w:t>
      </w:r>
    </w:p>
    <w:p w14:paraId="781C5A9A" w14:textId="77777777" w:rsidR="003366CD" w:rsidRDefault="00A80809" w:rsidP="00A80809">
      <w:r w:rsidRPr="00A80809">
        <w:t>Nel dataset relativo ai comuni (</w:t>
      </w:r>
      <w:r w:rsidR="00E27363">
        <w:t>Prospetto</w:t>
      </w:r>
      <w:r w:rsidR="00033CC2">
        <w:t xml:space="preserve"> </w:t>
      </w:r>
      <w:r w:rsidR="00E27363">
        <w:t>1</w:t>
      </w:r>
      <w:r w:rsidRPr="00A80809">
        <w:t xml:space="preserve">), gli enti sono stati classificati in tre fasce in base alla numerosità della popolazione: </w:t>
      </w:r>
    </w:p>
    <w:p w14:paraId="15EDFD42" w14:textId="0FBEDDF2" w:rsidR="003366CD" w:rsidRPr="003366CD" w:rsidRDefault="00A80809" w:rsidP="003366CD">
      <w:pPr>
        <w:pStyle w:val="Paragrafoelenco"/>
        <w:numPr>
          <w:ilvl w:val="0"/>
          <w:numId w:val="20"/>
        </w:numPr>
        <w:rPr>
          <w:b w:val="0"/>
          <w:bCs/>
        </w:rPr>
      </w:pPr>
      <w:r w:rsidRPr="003366CD">
        <w:rPr>
          <w:b w:val="0"/>
          <w:bCs/>
        </w:rPr>
        <w:t>"piccola popolazione" (inferiore a 1.000 abitanti)</w:t>
      </w:r>
      <w:r w:rsidR="003366CD" w:rsidRPr="003366CD">
        <w:rPr>
          <w:b w:val="0"/>
          <w:bCs/>
        </w:rPr>
        <w:t>;</w:t>
      </w:r>
    </w:p>
    <w:p w14:paraId="7A959CFE" w14:textId="2BD3379F" w:rsidR="003366CD" w:rsidRPr="003366CD" w:rsidRDefault="00A80809" w:rsidP="003366CD">
      <w:pPr>
        <w:pStyle w:val="Paragrafoelenco"/>
        <w:numPr>
          <w:ilvl w:val="0"/>
          <w:numId w:val="20"/>
        </w:numPr>
        <w:rPr>
          <w:b w:val="0"/>
          <w:bCs/>
        </w:rPr>
      </w:pPr>
      <w:r w:rsidRPr="003366CD">
        <w:rPr>
          <w:b w:val="0"/>
          <w:bCs/>
        </w:rPr>
        <w:t>"media popolazione" (tra 1.001 e 5.000 abitanti)</w:t>
      </w:r>
      <w:r w:rsidR="003366CD" w:rsidRPr="003366CD">
        <w:rPr>
          <w:b w:val="0"/>
          <w:bCs/>
        </w:rPr>
        <w:t>;</w:t>
      </w:r>
    </w:p>
    <w:p w14:paraId="480F2AB7" w14:textId="77777777" w:rsidR="003366CD" w:rsidRPr="003366CD" w:rsidRDefault="00A80809" w:rsidP="003366CD">
      <w:pPr>
        <w:pStyle w:val="Paragrafoelenco"/>
        <w:numPr>
          <w:ilvl w:val="0"/>
          <w:numId w:val="20"/>
        </w:numPr>
        <w:rPr>
          <w:b w:val="0"/>
          <w:bCs/>
        </w:rPr>
      </w:pPr>
      <w:r w:rsidRPr="003366CD">
        <w:rPr>
          <w:b w:val="0"/>
          <w:bCs/>
        </w:rPr>
        <w:lastRenderedPageBreak/>
        <w:t xml:space="preserve">"grande popolazione" (oltre 5.000 abitanti). </w:t>
      </w:r>
    </w:p>
    <w:p w14:paraId="43E060E7" w14:textId="77777777" w:rsidR="003366CD" w:rsidRDefault="00A80809" w:rsidP="003366CD">
      <w:r w:rsidRPr="00A80809">
        <w:t xml:space="preserve">Tale suddivisione ha permesso di evidenziare che la maggior parte dei comuni rientra nella fascia di "piccola popolazione", pari al 70,6% del campione. </w:t>
      </w:r>
    </w:p>
    <w:p w14:paraId="1B342719" w14:textId="77777777" w:rsidR="003366CD" w:rsidRDefault="003366CD" w:rsidP="003366CD"/>
    <w:p w14:paraId="5ADEF7B7" w14:textId="77777777" w:rsidR="003366CD" w:rsidRDefault="00A80809" w:rsidP="003366CD">
      <w:r w:rsidRPr="00A80809">
        <w:t>Per quanto riguarda la spesa (</w:t>
      </w:r>
      <w:r w:rsidR="003366CD">
        <w:t xml:space="preserve">prospetto 2), </w:t>
      </w:r>
      <w:r w:rsidRPr="00A80809">
        <w:t xml:space="preserve">i comuni sono stati ulteriormente classificati in base ai percentili di spesa corrente e spesa in conto capitale: bassa, media e alta. </w:t>
      </w:r>
    </w:p>
    <w:p w14:paraId="0D237A74" w14:textId="77777777" w:rsidR="00CB3022" w:rsidRDefault="00A80809" w:rsidP="003366CD">
      <w:r w:rsidRPr="00A80809">
        <w:t xml:space="preserve">La spesa corrente pro-capite è stata suddivisa in tre categorie: </w:t>
      </w:r>
    </w:p>
    <w:p w14:paraId="73C4AA57" w14:textId="77777777" w:rsidR="00994416" w:rsidRPr="00994416" w:rsidRDefault="00A80809" w:rsidP="00994416">
      <w:pPr>
        <w:pStyle w:val="Paragrafoelenco"/>
        <w:numPr>
          <w:ilvl w:val="0"/>
          <w:numId w:val="20"/>
        </w:numPr>
        <w:rPr>
          <w:b w:val="0"/>
          <w:bCs/>
        </w:rPr>
      </w:pPr>
      <w:r w:rsidRPr="00994416">
        <w:rPr>
          <w:b w:val="0"/>
          <w:bCs/>
        </w:rPr>
        <w:t>bassa (fino a 720,51 euro)</w:t>
      </w:r>
      <w:r w:rsidR="00994416" w:rsidRPr="00994416">
        <w:rPr>
          <w:b w:val="0"/>
          <w:bCs/>
        </w:rPr>
        <w:t>;</w:t>
      </w:r>
    </w:p>
    <w:p w14:paraId="318CE8DA" w14:textId="77777777" w:rsidR="00994416" w:rsidRPr="00994416" w:rsidRDefault="00A80809" w:rsidP="00994416">
      <w:pPr>
        <w:pStyle w:val="Paragrafoelenco"/>
        <w:numPr>
          <w:ilvl w:val="0"/>
          <w:numId w:val="20"/>
        </w:numPr>
        <w:rPr>
          <w:b w:val="0"/>
          <w:bCs/>
        </w:rPr>
      </w:pPr>
      <w:r w:rsidRPr="00994416">
        <w:rPr>
          <w:b w:val="0"/>
          <w:bCs/>
        </w:rPr>
        <w:t>media (tra 720,52 e 1.013,31 euro)</w:t>
      </w:r>
      <w:r w:rsidR="00994416" w:rsidRPr="00994416">
        <w:rPr>
          <w:b w:val="0"/>
          <w:bCs/>
        </w:rPr>
        <w:t>;</w:t>
      </w:r>
    </w:p>
    <w:p w14:paraId="73C68093" w14:textId="77777777" w:rsidR="00994416" w:rsidRPr="00994416" w:rsidRDefault="00A80809" w:rsidP="00994416">
      <w:pPr>
        <w:pStyle w:val="Paragrafoelenco"/>
        <w:numPr>
          <w:ilvl w:val="0"/>
          <w:numId w:val="20"/>
        </w:numPr>
        <w:rPr>
          <w:b w:val="0"/>
          <w:bCs/>
        </w:rPr>
      </w:pPr>
      <w:r w:rsidRPr="00994416">
        <w:rPr>
          <w:b w:val="0"/>
          <w:bCs/>
        </w:rPr>
        <w:t xml:space="preserve">alta (superiore a 1.013,31 euro). </w:t>
      </w:r>
    </w:p>
    <w:p w14:paraId="26403733" w14:textId="77777777" w:rsidR="00994416" w:rsidRDefault="00A80809" w:rsidP="00994416">
      <w:r w:rsidRPr="00A80809">
        <w:t>Analogamente, la spesa in conto capitale è stata classificata come segue:</w:t>
      </w:r>
    </w:p>
    <w:p w14:paraId="143D386E" w14:textId="104616C6" w:rsidR="00994416" w:rsidRPr="0015009C" w:rsidRDefault="00A80809" w:rsidP="00994416">
      <w:pPr>
        <w:pStyle w:val="Paragrafoelenco"/>
        <w:numPr>
          <w:ilvl w:val="0"/>
          <w:numId w:val="20"/>
        </w:numPr>
        <w:rPr>
          <w:b w:val="0"/>
          <w:bCs/>
        </w:rPr>
      </w:pPr>
      <w:r w:rsidRPr="0015009C">
        <w:rPr>
          <w:b w:val="0"/>
          <w:bCs/>
        </w:rPr>
        <w:t>bassa (fino a 234,54 euro)</w:t>
      </w:r>
      <w:r w:rsidR="0015009C" w:rsidRPr="0015009C">
        <w:rPr>
          <w:b w:val="0"/>
          <w:bCs/>
        </w:rPr>
        <w:t>;</w:t>
      </w:r>
    </w:p>
    <w:p w14:paraId="778B112C" w14:textId="2D1EC3B1" w:rsidR="0015009C" w:rsidRPr="0015009C" w:rsidRDefault="00A80809" w:rsidP="00994416">
      <w:pPr>
        <w:pStyle w:val="Paragrafoelenco"/>
        <w:numPr>
          <w:ilvl w:val="0"/>
          <w:numId w:val="20"/>
        </w:numPr>
        <w:rPr>
          <w:b w:val="0"/>
          <w:bCs/>
        </w:rPr>
      </w:pPr>
      <w:r w:rsidRPr="0015009C">
        <w:rPr>
          <w:b w:val="0"/>
          <w:bCs/>
        </w:rPr>
        <w:t>media (tra 234,55 e 580,07 euro)</w:t>
      </w:r>
      <w:r w:rsidR="0015009C" w:rsidRPr="0015009C">
        <w:rPr>
          <w:b w:val="0"/>
          <w:bCs/>
        </w:rPr>
        <w:t>;</w:t>
      </w:r>
    </w:p>
    <w:p w14:paraId="02AFBF94" w14:textId="38BAF663" w:rsidR="00A80809" w:rsidRPr="0015009C" w:rsidRDefault="00A80809" w:rsidP="00994416">
      <w:pPr>
        <w:pStyle w:val="Paragrafoelenco"/>
        <w:numPr>
          <w:ilvl w:val="0"/>
          <w:numId w:val="20"/>
        </w:numPr>
        <w:rPr>
          <w:b w:val="0"/>
          <w:bCs/>
        </w:rPr>
      </w:pPr>
      <w:r w:rsidRPr="0015009C">
        <w:rPr>
          <w:b w:val="0"/>
          <w:bCs/>
        </w:rPr>
        <w:t>alta (superiore a 580,07 euro).</w:t>
      </w:r>
    </w:p>
    <w:p w14:paraId="2B55418C" w14:textId="5F08F3A4" w:rsidR="00A80809" w:rsidRPr="00A80809" w:rsidRDefault="00A80809" w:rsidP="00A80809">
      <w:r w:rsidRPr="00A80809">
        <w:t>L’analisi ha rivelato che la maggior parte dei comuni con popolazione inferiore ai 5.000 abitanti è associata a una varietà di livelli di spesa, con una combinazione rilevante di spese alte</w:t>
      </w:r>
      <w:r w:rsidR="0015009C">
        <w:t xml:space="preserve">, </w:t>
      </w:r>
      <w:r w:rsidRPr="00A80809">
        <w:t>sia rispetto al campione totale, 22,3%, che all’interno della stessa classe di comuni, 31,6%. I comuni con una popolazione media (tra 5.001 e 50.000 abitanti) sono principalmente associati a spese basse o medio-basse. I comuni più grandi (oltre 50.000 abitanti), sebbene mostrino una distribuzione più diversificata, tendono ad avere spese medie o basse.</w:t>
      </w:r>
    </w:p>
    <w:p w14:paraId="6D841A7D" w14:textId="77777777" w:rsidR="00A80809" w:rsidRPr="00A80809" w:rsidRDefault="00A80809" w:rsidP="00A80809"/>
    <w:p w14:paraId="7FF931CE" w14:textId="67B34940" w:rsidR="00A80809" w:rsidRPr="00A80809" w:rsidRDefault="00033CC2" w:rsidP="00A80809">
      <w:r>
        <w:t>Prospetto 1</w:t>
      </w:r>
      <w:r w:rsidR="00A80809" w:rsidRPr="00A80809">
        <w:t xml:space="preserve"> – Distribuzione popolazione dei Comuni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5"/>
        <w:gridCol w:w="2050"/>
        <w:gridCol w:w="2457"/>
      </w:tblGrid>
      <w:tr w:rsidR="00A80809" w:rsidRPr="00A80809" w14:paraId="76E6CCDB" w14:textId="77777777" w:rsidTr="00FC035A">
        <w:trPr>
          <w:trHeight w:val="300"/>
        </w:trPr>
        <w:tc>
          <w:tcPr>
            <w:tcW w:w="2687" w:type="pct"/>
            <w:shd w:val="clear" w:color="auto" w:fill="auto"/>
            <w:noWrap/>
            <w:hideMark/>
          </w:tcPr>
          <w:p w14:paraId="15F8B615" w14:textId="77777777" w:rsidR="00A80809" w:rsidRPr="00A80809" w:rsidRDefault="00A80809" w:rsidP="00A80809">
            <w:pPr>
              <w:rPr>
                <w:b/>
                <w:bCs/>
              </w:rPr>
            </w:pPr>
            <w:r w:rsidRPr="00A80809">
              <w:rPr>
                <w:b/>
                <w:bCs/>
              </w:rPr>
              <w:t>Classe Popolazione</w:t>
            </w:r>
          </w:p>
        </w:tc>
        <w:tc>
          <w:tcPr>
            <w:tcW w:w="1052" w:type="pct"/>
            <w:shd w:val="clear" w:color="auto" w:fill="auto"/>
            <w:noWrap/>
            <w:hideMark/>
          </w:tcPr>
          <w:p w14:paraId="016DFC0E" w14:textId="77777777" w:rsidR="00A80809" w:rsidRPr="00A80809" w:rsidRDefault="00A80809" w:rsidP="00A80809">
            <w:pPr>
              <w:rPr>
                <w:b/>
                <w:bCs/>
              </w:rPr>
            </w:pPr>
            <w:r w:rsidRPr="00A80809">
              <w:rPr>
                <w:b/>
                <w:bCs/>
              </w:rPr>
              <w:t>Valore Assoluto</w:t>
            </w:r>
          </w:p>
        </w:tc>
        <w:tc>
          <w:tcPr>
            <w:tcW w:w="1261" w:type="pct"/>
            <w:shd w:val="clear" w:color="auto" w:fill="auto"/>
            <w:noWrap/>
            <w:hideMark/>
          </w:tcPr>
          <w:p w14:paraId="736B4FF1" w14:textId="77777777" w:rsidR="00A80809" w:rsidRPr="00A80809" w:rsidRDefault="00A80809" w:rsidP="00A80809">
            <w:pPr>
              <w:rPr>
                <w:b/>
                <w:bCs/>
              </w:rPr>
            </w:pPr>
            <w:r w:rsidRPr="00A80809">
              <w:rPr>
                <w:b/>
                <w:bCs/>
              </w:rPr>
              <w:t>Valore Percentuale</w:t>
            </w:r>
          </w:p>
        </w:tc>
      </w:tr>
      <w:tr w:rsidR="00A80809" w:rsidRPr="00A80809" w14:paraId="36319D66" w14:textId="77777777" w:rsidTr="00FC035A">
        <w:trPr>
          <w:trHeight w:val="255"/>
        </w:trPr>
        <w:tc>
          <w:tcPr>
            <w:tcW w:w="2687" w:type="pct"/>
            <w:shd w:val="clear" w:color="auto" w:fill="auto"/>
            <w:noWrap/>
            <w:vAlign w:val="bottom"/>
            <w:hideMark/>
          </w:tcPr>
          <w:p w14:paraId="0F4DE021" w14:textId="77777777" w:rsidR="00A80809" w:rsidRPr="00A80809" w:rsidRDefault="00A80809" w:rsidP="00A80809">
            <w:r w:rsidRPr="00A80809">
              <w:t>Piccola popolazione (&lt; 5.000 abitanti)</w:t>
            </w:r>
          </w:p>
        </w:tc>
        <w:tc>
          <w:tcPr>
            <w:tcW w:w="1052" w:type="pct"/>
            <w:shd w:val="clear" w:color="auto" w:fill="auto"/>
            <w:noWrap/>
            <w:vAlign w:val="bottom"/>
            <w:hideMark/>
          </w:tcPr>
          <w:p w14:paraId="399BFB20" w14:textId="77777777" w:rsidR="00A80809" w:rsidRPr="00A80809" w:rsidRDefault="00A80809" w:rsidP="00A80809">
            <w:r w:rsidRPr="00A80809">
              <w:t>5514</w:t>
            </w:r>
          </w:p>
        </w:tc>
        <w:tc>
          <w:tcPr>
            <w:tcW w:w="1261" w:type="pct"/>
            <w:shd w:val="clear" w:color="auto" w:fill="auto"/>
            <w:noWrap/>
            <w:vAlign w:val="bottom"/>
            <w:hideMark/>
          </w:tcPr>
          <w:p w14:paraId="2FFDC9C0" w14:textId="77777777" w:rsidR="00A80809" w:rsidRPr="00A80809" w:rsidRDefault="00A80809" w:rsidP="00A80809">
            <w:r w:rsidRPr="00A80809">
              <w:t>70,1</w:t>
            </w:r>
          </w:p>
        </w:tc>
      </w:tr>
      <w:tr w:rsidR="00A80809" w:rsidRPr="00A80809" w14:paraId="6223AB8D" w14:textId="77777777" w:rsidTr="00FC035A">
        <w:trPr>
          <w:trHeight w:val="255"/>
        </w:trPr>
        <w:tc>
          <w:tcPr>
            <w:tcW w:w="2687" w:type="pct"/>
            <w:shd w:val="clear" w:color="auto" w:fill="auto"/>
            <w:noWrap/>
            <w:vAlign w:val="bottom"/>
            <w:hideMark/>
          </w:tcPr>
          <w:p w14:paraId="287012F2" w14:textId="77777777" w:rsidR="00A80809" w:rsidRPr="00A80809" w:rsidRDefault="00A80809" w:rsidP="00A80809">
            <w:r w:rsidRPr="00A80809">
              <w:t>Media popolazione (5.001 - 50.000 abitanti)</w:t>
            </w:r>
          </w:p>
        </w:tc>
        <w:tc>
          <w:tcPr>
            <w:tcW w:w="1052" w:type="pct"/>
            <w:shd w:val="clear" w:color="auto" w:fill="auto"/>
            <w:noWrap/>
            <w:vAlign w:val="bottom"/>
            <w:hideMark/>
          </w:tcPr>
          <w:p w14:paraId="6E938CED" w14:textId="77777777" w:rsidR="00A80809" w:rsidRPr="00A80809" w:rsidRDefault="00A80809" w:rsidP="00A80809">
            <w:r w:rsidRPr="00A80809">
              <w:t>2210</w:t>
            </w:r>
          </w:p>
        </w:tc>
        <w:tc>
          <w:tcPr>
            <w:tcW w:w="1261" w:type="pct"/>
            <w:shd w:val="clear" w:color="auto" w:fill="auto"/>
            <w:noWrap/>
            <w:vAlign w:val="bottom"/>
            <w:hideMark/>
          </w:tcPr>
          <w:p w14:paraId="2D925716" w14:textId="77777777" w:rsidR="00A80809" w:rsidRPr="00A80809" w:rsidRDefault="00A80809" w:rsidP="00A80809">
            <w:r w:rsidRPr="00A80809">
              <w:t>28,1</w:t>
            </w:r>
          </w:p>
        </w:tc>
      </w:tr>
      <w:tr w:rsidR="00A80809" w:rsidRPr="00A80809" w14:paraId="44CB82CC" w14:textId="77777777" w:rsidTr="00FC035A">
        <w:trPr>
          <w:trHeight w:val="255"/>
        </w:trPr>
        <w:tc>
          <w:tcPr>
            <w:tcW w:w="2687" w:type="pct"/>
            <w:shd w:val="clear" w:color="auto" w:fill="auto"/>
            <w:noWrap/>
            <w:vAlign w:val="bottom"/>
            <w:hideMark/>
          </w:tcPr>
          <w:p w14:paraId="0D7921C8" w14:textId="77777777" w:rsidR="00A80809" w:rsidRPr="00A80809" w:rsidRDefault="00A80809" w:rsidP="00A80809">
            <w:r w:rsidRPr="00A80809">
              <w:t>Grande popolazione (&gt; 50.000 abitanti)</w:t>
            </w:r>
          </w:p>
        </w:tc>
        <w:tc>
          <w:tcPr>
            <w:tcW w:w="1052" w:type="pct"/>
            <w:shd w:val="clear" w:color="auto" w:fill="auto"/>
            <w:noWrap/>
            <w:vAlign w:val="bottom"/>
            <w:hideMark/>
          </w:tcPr>
          <w:p w14:paraId="7B11BC29" w14:textId="77777777" w:rsidR="00A80809" w:rsidRPr="00A80809" w:rsidRDefault="00A80809" w:rsidP="00A80809">
            <w:r w:rsidRPr="00A80809">
              <w:t>139</w:t>
            </w:r>
          </w:p>
        </w:tc>
        <w:tc>
          <w:tcPr>
            <w:tcW w:w="1261" w:type="pct"/>
            <w:shd w:val="clear" w:color="auto" w:fill="auto"/>
            <w:noWrap/>
            <w:vAlign w:val="bottom"/>
            <w:hideMark/>
          </w:tcPr>
          <w:p w14:paraId="726C6E2C" w14:textId="77777777" w:rsidR="00A80809" w:rsidRPr="00A80809" w:rsidRDefault="00A80809" w:rsidP="00A80809">
            <w:r w:rsidRPr="00A80809">
              <w:t>1,8</w:t>
            </w:r>
          </w:p>
        </w:tc>
      </w:tr>
    </w:tbl>
    <w:p w14:paraId="4E65ACD7" w14:textId="77777777" w:rsidR="00A80809" w:rsidRPr="00A80809" w:rsidRDefault="00A80809" w:rsidP="00A80809"/>
    <w:p w14:paraId="2DA4A10D" w14:textId="3F50B14A" w:rsidR="00A80809" w:rsidRPr="00A80809" w:rsidRDefault="00033CC2" w:rsidP="00A80809">
      <w:r>
        <w:t xml:space="preserve">Prospetto </w:t>
      </w:r>
      <w:r w:rsidR="00A80809" w:rsidRPr="00A80809">
        <w:t>2 – Spesa corrente e spesa in conto capitale dei Comuni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09"/>
        <w:gridCol w:w="3719"/>
        <w:gridCol w:w="3914"/>
      </w:tblGrid>
      <w:tr w:rsidR="00A80809" w:rsidRPr="00A80809" w14:paraId="1A3F165D" w14:textId="77777777" w:rsidTr="00FC035A">
        <w:trPr>
          <w:trHeight w:val="283"/>
        </w:trPr>
        <w:tc>
          <w:tcPr>
            <w:tcW w:w="1082" w:type="pct"/>
            <w:shd w:val="clear" w:color="auto" w:fill="FFFFFF"/>
            <w:tcMar>
              <w:top w:w="15" w:type="dxa"/>
              <w:left w:w="15" w:type="dxa"/>
              <w:bottom w:w="0" w:type="dxa"/>
              <w:right w:w="15" w:type="dxa"/>
            </w:tcMar>
            <w:vAlign w:val="bottom"/>
            <w:hideMark/>
          </w:tcPr>
          <w:p w14:paraId="1FC34D9C" w14:textId="77777777" w:rsidR="00A80809" w:rsidRPr="00A80809" w:rsidRDefault="00A80809" w:rsidP="00A80809">
            <w:r w:rsidRPr="00A80809">
              <w:rPr>
                <w:b/>
                <w:bCs/>
              </w:rPr>
              <w:t>Classe</w:t>
            </w:r>
          </w:p>
        </w:tc>
        <w:tc>
          <w:tcPr>
            <w:tcW w:w="1909" w:type="pct"/>
            <w:shd w:val="clear" w:color="auto" w:fill="FFFFFF"/>
            <w:tcMar>
              <w:top w:w="15" w:type="dxa"/>
              <w:left w:w="15" w:type="dxa"/>
              <w:bottom w:w="0" w:type="dxa"/>
              <w:right w:w="15" w:type="dxa"/>
            </w:tcMar>
            <w:vAlign w:val="bottom"/>
            <w:hideMark/>
          </w:tcPr>
          <w:p w14:paraId="22852401" w14:textId="77777777" w:rsidR="00A80809" w:rsidRPr="00A80809" w:rsidRDefault="00A80809" w:rsidP="00A80809">
            <w:r w:rsidRPr="00A80809">
              <w:rPr>
                <w:b/>
                <w:bCs/>
              </w:rPr>
              <w:t>Spesa corrente</w:t>
            </w:r>
          </w:p>
        </w:tc>
        <w:tc>
          <w:tcPr>
            <w:tcW w:w="2009" w:type="pct"/>
            <w:shd w:val="clear" w:color="auto" w:fill="FFFFFF"/>
            <w:tcMar>
              <w:top w:w="15" w:type="dxa"/>
              <w:left w:w="15" w:type="dxa"/>
              <w:bottom w:w="0" w:type="dxa"/>
              <w:right w:w="15" w:type="dxa"/>
            </w:tcMar>
            <w:vAlign w:val="bottom"/>
            <w:hideMark/>
          </w:tcPr>
          <w:p w14:paraId="68C2F508" w14:textId="77777777" w:rsidR="00A80809" w:rsidRPr="00A80809" w:rsidRDefault="00A80809" w:rsidP="00A80809">
            <w:r w:rsidRPr="00A80809">
              <w:rPr>
                <w:b/>
                <w:bCs/>
              </w:rPr>
              <w:t>Spesa in conto capitale</w:t>
            </w:r>
          </w:p>
        </w:tc>
      </w:tr>
      <w:tr w:rsidR="00A80809" w:rsidRPr="00A80809" w14:paraId="65F72B90" w14:textId="77777777" w:rsidTr="00FC035A">
        <w:trPr>
          <w:trHeight w:val="283"/>
        </w:trPr>
        <w:tc>
          <w:tcPr>
            <w:tcW w:w="1082" w:type="pct"/>
            <w:shd w:val="clear" w:color="auto" w:fill="FFFFFF"/>
            <w:tcMar>
              <w:top w:w="15" w:type="dxa"/>
              <w:left w:w="15" w:type="dxa"/>
              <w:bottom w:w="0" w:type="dxa"/>
              <w:right w:w="15" w:type="dxa"/>
            </w:tcMar>
            <w:hideMark/>
          </w:tcPr>
          <w:p w14:paraId="0149BB31" w14:textId="77777777" w:rsidR="00A80809" w:rsidRPr="00A80809" w:rsidRDefault="00A80809" w:rsidP="00A80809">
            <w:r w:rsidRPr="00A80809">
              <w:rPr>
                <w:b/>
                <w:bCs/>
              </w:rPr>
              <w:t>Bassa</w:t>
            </w:r>
          </w:p>
        </w:tc>
        <w:tc>
          <w:tcPr>
            <w:tcW w:w="1909" w:type="pct"/>
            <w:shd w:val="clear" w:color="auto" w:fill="FFFFFF"/>
            <w:tcMar>
              <w:top w:w="15" w:type="dxa"/>
              <w:left w:w="15" w:type="dxa"/>
              <w:bottom w:w="0" w:type="dxa"/>
              <w:right w:w="15" w:type="dxa"/>
            </w:tcMar>
            <w:hideMark/>
          </w:tcPr>
          <w:p w14:paraId="049EEC45" w14:textId="77777777" w:rsidR="00A80809" w:rsidRPr="00A80809" w:rsidRDefault="00A80809" w:rsidP="00A80809">
            <w:r w:rsidRPr="00A80809">
              <w:t>fino a 720,51 euro</w:t>
            </w:r>
          </w:p>
        </w:tc>
        <w:tc>
          <w:tcPr>
            <w:tcW w:w="2009" w:type="pct"/>
            <w:shd w:val="clear" w:color="auto" w:fill="FFFFFF"/>
            <w:tcMar>
              <w:top w:w="15" w:type="dxa"/>
              <w:left w:w="15" w:type="dxa"/>
              <w:bottom w:w="0" w:type="dxa"/>
              <w:right w:w="15" w:type="dxa"/>
            </w:tcMar>
            <w:hideMark/>
          </w:tcPr>
          <w:p w14:paraId="5FDABFA6" w14:textId="77777777" w:rsidR="00A80809" w:rsidRPr="00A80809" w:rsidRDefault="00A80809" w:rsidP="00A80809">
            <w:r w:rsidRPr="00A80809">
              <w:t>fino a 234,54 euro</w:t>
            </w:r>
          </w:p>
        </w:tc>
      </w:tr>
      <w:tr w:rsidR="00A80809" w:rsidRPr="00A80809" w14:paraId="4F7CBB0A" w14:textId="77777777" w:rsidTr="00FC035A">
        <w:trPr>
          <w:trHeight w:val="283"/>
        </w:trPr>
        <w:tc>
          <w:tcPr>
            <w:tcW w:w="1082" w:type="pct"/>
            <w:shd w:val="clear" w:color="auto" w:fill="FFFFFF"/>
            <w:tcMar>
              <w:top w:w="15" w:type="dxa"/>
              <w:left w:w="15" w:type="dxa"/>
              <w:bottom w:w="0" w:type="dxa"/>
              <w:right w:w="15" w:type="dxa"/>
            </w:tcMar>
            <w:hideMark/>
          </w:tcPr>
          <w:p w14:paraId="564F0F40" w14:textId="77777777" w:rsidR="00A80809" w:rsidRPr="00A80809" w:rsidRDefault="00A80809" w:rsidP="00A80809">
            <w:r w:rsidRPr="00A80809">
              <w:rPr>
                <w:b/>
                <w:bCs/>
              </w:rPr>
              <w:t>Media</w:t>
            </w:r>
          </w:p>
        </w:tc>
        <w:tc>
          <w:tcPr>
            <w:tcW w:w="1909" w:type="pct"/>
            <w:shd w:val="clear" w:color="auto" w:fill="FFFFFF"/>
            <w:tcMar>
              <w:top w:w="15" w:type="dxa"/>
              <w:left w:w="15" w:type="dxa"/>
              <w:bottom w:w="0" w:type="dxa"/>
              <w:right w:w="15" w:type="dxa"/>
            </w:tcMar>
            <w:hideMark/>
          </w:tcPr>
          <w:p w14:paraId="3208DF38" w14:textId="77777777" w:rsidR="00A80809" w:rsidRPr="00A80809" w:rsidRDefault="00A80809" w:rsidP="00A80809">
            <w:r w:rsidRPr="00A80809">
              <w:t>da 720,52 euro a 1.013,31 euro</w:t>
            </w:r>
          </w:p>
        </w:tc>
        <w:tc>
          <w:tcPr>
            <w:tcW w:w="2009" w:type="pct"/>
            <w:shd w:val="clear" w:color="auto" w:fill="FFFFFF"/>
            <w:tcMar>
              <w:top w:w="15" w:type="dxa"/>
              <w:left w:w="15" w:type="dxa"/>
              <w:bottom w:w="0" w:type="dxa"/>
              <w:right w:w="15" w:type="dxa"/>
            </w:tcMar>
            <w:hideMark/>
          </w:tcPr>
          <w:p w14:paraId="19684070" w14:textId="77777777" w:rsidR="00A80809" w:rsidRPr="00A80809" w:rsidRDefault="00A80809" w:rsidP="00A80809">
            <w:r w:rsidRPr="00A80809">
              <w:t>da 234,55 euro a 580,07 euro</w:t>
            </w:r>
          </w:p>
        </w:tc>
      </w:tr>
      <w:tr w:rsidR="00A80809" w:rsidRPr="00A80809" w14:paraId="5BB7F431" w14:textId="77777777" w:rsidTr="00FC035A">
        <w:trPr>
          <w:trHeight w:val="283"/>
        </w:trPr>
        <w:tc>
          <w:tcPr>
            <w:tcW w:w="1082" w:type="pct"/>
            <w:shd w:val="clear" w:color="auto" w:fill="FFFFFF"/>
            <w:tcMar>
              <w:top w:w="15" w:type="dxa"/>
              <w:left w:w="15" w:type="dxa"/>
              <w:bottom w:w="0" w:type="dxa"/>
              <w:right w:w="15" w:type="dxa"/>
            </w:tcMar>
            <w:hideMark/>
          </w:tcPr>
          <w:p w14:paraId="7F204ADE" w14:textId="77777777" w:rsidR="00A80809" w:rsidRPr="00A80809" w:rsidRDefault="00A80809" w:rsidP="00A80809">
            <w:r w:rsidRPr="00A80809">
              <w:rPr>
                <w:b/>
                <w:bCs/>
              </w:rPr>
              <w:t>Alta</w:t>
            </w:r>
          </w:p>
        </w:tc>
        <w:tc>
          <w:tcPr>
            <w:tcW w:w="1909" w:type="pct"/>
            <w:shd w:val="clear" w:color="auto" w:fill="FFFFFF"/>
            <w:tcMar>
              <w:top w:w="15" w:type="dxa"/>
              <w:left w:w="15" w:type="dxa"/>
              <w:bottom w:w="0" w:type="dxa"/>
              <w:right w:w="15" w:type="dxa"/>
            </w:tcMar>
            <w:hideMark/>
          </w:tcPr>
          <w:p w14:paraId="14E5177E" w14:textId="77777777" w:rsidR="00A80809" w:rsidRPr="00A80809" w:rsidRDefault="00A80809" w:rsidP="00A80809">
            <w:r w:rsidRPr="00A80809">
              <w:t>oltre 1.013,31 euro</w:t>
            </w:r>
          </w:p>
        </w:tc>
        <w:tc>
          <w:tcPr>
            <w:tcW w:w="2009" w:type="pct"/>
            <w:shd w:val="clear" w:color="auto" w:fill="FFFFFF"/>
            <w:tcMar>
              <w:top w:w="15" w:type="dxa"/>
              <w:left w:w="15" w:type="dxa"/>
              <w:bottom w:w="0" w:type="dxa"/>
              <w:right w:w="15" w:type="dxa"/>
            </w:tcMar>
            <w:hideMark/>
          </w:tcPr>
          <w:p w14:paraId="33C30588" w14:textId="77777777" w:rsidR="00A80809" w:rsidRPr="00A80809" w:rsidRDefault="00A80809" w:rsidP="00A80809">
            <w:r w:rsidRPr="00A80809">
              <w:t>oltre 580,07 euro</w:t>
            </w:r>
          </w:p>
        </w:tc>
      </w:tr>
    </w:tbl>
    <w:p w14:paraId="3B1FE813" w14:textId="77777777" w:rsidR="00A80809" w:rsidRPr="00A80809" w:rsidRDefault="00A80809" w:rsidP="00A80809"/>
    <w:p w14:paraId="6BF56883" w14:textId="77777777" w:rsidR="00ED1425" w:rsidRDefault="00A80809" w:rsidP="00A80809">
      <w:r w:rsidRPr="00A80809">
        <w:t>Per quanto riguarda il dataset delle Province e Città Metropolitane (</w:t>
      </w:r>
      <w:r w:rsidR="00ED1425">
        <w:t>Prospetto</w:t>
      </w:r>
      <w:r w:rsidRPr="00A80809">
        <w:t xml:space="preserve"> 3), questi enti sono stati suddivisi in tre fasce di popolazione: </w:t>
      </w:r>
    </w:p>
    <w:p w14:paraId="6010E2B1" w14:textId="788ACF87" w:rsidR="00D811FB" w:rsidRPr="00D811FB" w:rsidRDefault="00A80809" w:rsidP="00D811FB">
      <w:pPr>
        <w:pStyle w:val="Paragrafoelenco"/>
        <w:numPr>
          <w:ilvl w:val="0"/>
          <w:numId w:val="20"/>
        </w:numPr>
        <w:rPr>
          <w:b w:val="0"/>
          <w:bCs/>
        </w:rPr>
      </w:pPr>
      <w:r w:rsidRPr="00D811FB">
        <w:rPr>
          <w:b w:val="0"/>
          <w:bCs/>
        </w:rPr>
        <w:t>"piccola popolazione" (inferiore ai 300.000 abitanti)</w:t>
      </w:r>
      <w:r w:rsidR="00D811FB">
        <w:rPr>
          <w:b w:val="0"/>
          <w:bCs/>
        </w:rPr>
        <w:t>;</w:t>
      </w:r>
    </w:p>
    <w:p w14:paraId="050E8399" w14:textId="00486149" w:rsidR="00D811FB" w:rsidRPr="00D811FB" w:rsidRDefault="00A80809" w:rsidP="00D811FB">
      <w:pPr>
        <w:pStyle w:val="Paragrafoelenco"/>
        <w:numPr>
          <w:ilvl w:val="0"/>
          <w:numId w:val="20"/>
        </w:numPr>
        <w:rPr>
          <w:b w:val="0"/>
          <w:bCs/>
        </w:rPr>
      </w:pPr>
      <w:r w:rsidRPr="00D811FB">
        <w:rPr>
          <w:b w:val="0"/>
          <w:bCs/>
        </w:rPr>
        <w:t>"media popolazione" (tra 300.000 e 1 milione di abitanti)</w:t>
      </w:r>
      <w:r w:rsidR="00D811FB">
        <w:rPr>
          <w:b w:val="0"/>
          <w:bCs/>
        </w:rPr>
        <w:t>;</w:t>
      </w:r>
    </w:p>
    <w:p w14:paraId="0FD26BD6" w14:textId="77777777" w:rsidR="00D811FB" w:rsidRPr="00D811FB" w:rsidRDefault="00A80809" w:rsidP="00D811FB">
      <w:pPr>
        <w:pStyle w:val="Paragrafoelenco"/>
        <w:numPr>
          <w:ilvl w:val="0"/>
          <w:numId w:val="20"/>
        </w:numPr>
        <w:rPr>
          <w:b w:val="0"/>
          <w:bCs/>
        </w:rPr>
      </w:pPr>
      <w:r w:rsidRPr="00D811FB">
        <w:rPr>
          <w:b w:val="0"/>
          <w:bCs/>
        </w:rPr>
        <w:t xml:space="preserve">"grande popolazione" (oltre 1 milione di abitanti). </w:t>
      </w:r>
    </w:p>
    <w:p w14:paraId="3029D2F1" w14:textId="77777777" w:rsidR="00015593" w:rsidRDefault="00A80809" w:rsidP="00D811FB">
      <w:r w:rsidRPr="00A80809">
        <w:t>La maggior parte di queste entità rientra nella fascia di "media popolazione", pari al 56,6% del campione. Anche in questo caso, i dati relativi alla spesa sono stati analizzati in base a percentili che hanno classificato le province e città metropolitane in tre categorie (</w:t>
      </w:r>
      <w:r w:rsidR="00DC6D85">
        <w:t xml:space="preserve">Prospetto </w:t>
      </w:r>
      <w:r w:rsidRPr="00A80809">
        <w:t>4): bassa, media e alta. La spesa corrente pro-capite è stata suddivisa in categorie di</w:t>
      </w:r>
      <w:r w:rsidR="00015593">
        <w:t>:</w:t>
      </w:r>
    </w:p>
    <w:p w14:paraId="43BBF8C6" w14:textId="1D439E12" w:rsidR="00015593" w:rsidRPr="00015593" w:rsidRDefault="00A80809" w:rsidP="00015593">
      <w:pPr>
        <w:pStyle w:val="Paragrafoelenco"/>
        <w:numPr>
          <w:ilvl w:val="0"/>
          <w:numId w:val="20"/>
        </w:numPr>
        <w:rPr>
          <w:b w:val="0"/>
          <w:bCs/>
        </w:rPr>
      </w:pPr>
      <w:r w:rsidRPr="00015593">
        <w:rPr>
          <w:b w:val="0"/>
          <w:bCs/>
        </w:rPr>
        <w:t>bassa (fino a 111,74 euro)</w:t>
      </w:r>
    </w:p>
    <w:p w14:paraId="66A5BD01" w14:textId="77777777" w:rsidR="00015593" w:rsidRPr="00015593" w:rsidRDefault="00A80809" w:rsidP="00015593">
      <w:pPr>
        <w:pStyle w:val="Paragrafoelenco"/>
        <w:numPr>
          <w:ilvl w:val="0"/>
          <w:numId w:val="20"/>
        </w:numPr>
        <w:rPr>
          <w:b w:val="0"/>
          <w:bCs/>
        </w:rPr>
      </w:pPr>
      <w:r w:rsidRPr="00015593">
        <w:rPr>
          <w:b w:val="0"/>
          <w:bCs/>
        </w:rPr>
        <w:lastRenderedPageBreak/>
        <w:t xml:space="preserve">media (tra 111,74 e 136,28 euro) </w:t>
      </w:r>
    </w:p>
    <w:p w14:paraId="5749811A" w14:textId="77777777" w:rsidR="00015593" w:rsidRPr="00015593" w:rsidRDefault="00A80809" w:rsidP="00015593">
      <w:pPr>
        <w:pStyle w:val="Paragrafoelenco"/>
        <w:numPr>
          <w:ilvl w:val="0"/>
          <w:numId w:val="20"/>
        </w:numPr>
        <w:rPr>
          <w:b w:val="0"/>
          <w:bCs/>
        </w:rPr>
      </w:pPr>
      <w:r w:rsidRPr="00015593">
        <w:rPr>
          <w:b w:val="0"/>
          <w:bCs/>
        </w:rPr>
        <w:t xml:space="preserve">alta (superiore a 136,28 euro). </w:t>
      </w:r>
    </w:p>
    <w:p w14:paraId="7765D2AF" w14:textId="77777777" w:rsidR="00015593" w:rsidRPr="00015593" w:rsidRDefault="00A80809" w:rsidP="00015593">
      <w:pPr>
        <w:rPr>
          <w:bCs/>
        </w:rPr>
      </w:pPr>
      <w:r w:rsidRPr="00015593">
        <w:rPr>
          <w:bCs/>
        </w:rPr>
        <w:t xml:space="preserve">Analogamente, la spesa in conto capitale è stata suddivisa come segue: </w:t>
      </w:r>
    </w:p>
    <w:p w14:paraId="588A41AB" w14:textId="5CCBC155" w:rsidR="00015593" w:rsidRPr="00015593" w:rsidRDefault="00A80809" w:rsidP="00015593">
      <w:pPr>
        <w:pStyle w:val="Paragrafoelenco"/>
        <w:numPr>
          <w:ilvl w:val="0"/>
          <w:numId w:val="20"/>
        </w:numPr>
        <w:rPr>
          <w:b w:val="0"/>
          <w:bCs/>
        </w:rPr>
      </w:pPr>
      <w:r w:rsidRPr="00015593">
        <w:rPr>
          <w:b w:val="0"/>
          <w:bCs/>
        </w:rPr>
        <w:t>bassa (fino a 35,9 euro)</w:t>
      </w:r>
      <w:r w:rsidR="00015593" w:rsidRPr="00015593">
        <w:rPr>
          <w:b w:val="0"/>
          <w:bCs/>
        </w:rPr>
        <w:t>;</w:t>
      </w:r>
    </w:p>
    <w:p w14:paraId="65F0AA8D" w14:textId="0FC4B91E" w:rsidR="00015593" w:rsidRPr="00015593" w:rsidRDefault="00A80809" w:rsidP="00015593">
      <w:pPr>
        <w:pStyle w:val="Paragrafoelenco"/>
        <w:numPr>
          <w:ilvl w:val="0"/>
          <w:numId w:val="20"/>
        </w:numPr>
        <w:rPr>
          <w:b w:val="0"/>
          <w:bCs/>
        </w:rPr>
      </w:pPr>
      <w:r w:rsidRPr="00015593">
        <w:rPr>
          <w:b w:val="0"/>
          <w:bCs/>
        </w:rPr>
        <w:t>media (tra 36 e 49,9 euro)</w:t>
      </w:r>
      <w:r w:rsidR="00015593" w:rsidRPr="00015593">
        <w:rPr>
          <w:b w:val="0"/>
          <w:bCs/>
        </w:rPr>
        <w:t>;</w:t>
      </w:r>
      <w:r w:rsidRPr="00015593">
        <w:rPr>
          <w:b w:val="0"/>
          <w:bCs/>
        </w:rPr>
        <w:t xml:space="preserve"> </w:t>
      </w:r>
    </w:p>
    <w:p w14:paraId="5216E66F" w14:textId="165C1725" w:rsidR="00A80809" w:rsidRPr="00015593" w:rsidRDefault="00A80809" w:rsidP="00015593">
      <w:pPr>
        <w:pStyle w:val="Paragrafoelenco"/>
        <w:numPr>
          <w:ilvl w:val="0"/>
          <w:numId w:val="20"/>
        </w:numPr>
        <w:rPr>
          <w:b w:val="0"/>
          <w:bCs/>
        </w:rPr>
      </w:pPr>
      <w:r w:rsidRPr="00015593">
        <w:rPr>
          <w:b w:val="0"/>
          <w:bCs/>
        </w:rPr>
        <w:t>alta (oltre 49,9 euro).</w:t>
      </w:r>
    </w:p>
    <w:p w14:paraId="53931FBE" w14:textId="77777777" w:rsidR="00A80809" w:rsidRPr="00A80809" w:rsidRDefault="00A80809" w:rsidP="00A80809">
      <w:r w:rsidRPr="00A80809">
        <w:t>L’analisi dei dati ha evidenziato che le province e città metropolitane con popolazione inferiore ai 300.000 abitanti (pari al 33% del totale) tendono ad avere una propensione maggiore a destinare risorse a progetti o servizi specifici, nonostante la loro dimensione demografica limitata. Le province e città metropolitane con popolazione media (tra 300.000 e 1 milione di abitanti) presentano una distribuzione diversificata nelle categorie di spesa, mentre quelle con popolazione superiore al milione di abitanti tendono a mantenere spese medie o basse.</w:t>
      </w:r>
    </w:p>
    <w:p w14:paraId="4E3599AF" w14:textId="77777777" w:rsidR="00A80809" w:rsidRPr="00A80809" w:rsidRDefault="00A80809" w:rsidP="00A80809"/>
    <w:p w14:paraId="7955AA5C" w14:textId="745C73CF" w:rsidR="00A80809" w:rsidRPr="00A80809" w:rsidRDefault="00015593" w:rsidP="00A80809">
      <w:r>
        <w:t>Prospetto</w:t>
      </w:r>
      <w:r w:rsidR="00A80809" w:rsidRPr="00A80809">
        <w:t xml:space="preserve"> 3 – Distribuzione popolazione delle Province e Città Metropolitane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02"/>
        <w:gridCol w:w="2319"/>
        <w:gridCol w:w="2121"/>
      </w:tblGrid>
      <w:tr w:rsidR="00A80809" w:rsidRPr="00A80809" w14:paraId="049B52D6" w14:textId="77777777" w:rsidTr="00FC035A">
        <w:trPr>
          <w:trHeight w:val="300"/>
        </w:trPr>
        <w:tc>
          <w:tcPr>
            <w:tcW w:w="2849" w:type="pct"/>
            <w:shd w:val="clear" w:color="auto" w:fill="auto"/>
            <w:noWrap/>
            <w:hideMark/>
          </w:tcPr>
          <w:p w14:paraId="667578D1" w14:textId="77777777" w:rsidR="00A80809" w:rsidRPr="00A80809" w:rsidRDefault="00A80809" w:rsidP="00A80809">
            <w:pPr>
              <w:rPr>
                <w:b/>
                <w:bCs/>
              </w:rPr>
            </w:pPr>
            <w:r w:rsidRPr="00A80809">
              <w:rPr>
                <w:b/>
                <w:bCs/>
              </w:rPr>
              <w:t>Classe Popolazione</w:t>
            </w:r>
          </w:p>
        </w:tc>
        <w:tc>
          <w:tcPr>
            <w:tcW w:w="1407" w:type="pct"/>
            <w:shd w:val="clear" w:color="auto" w:fill="auto"/>
            <w:noWrap/>
            <w:hideMark/>
          </w:tcPr>
          <w:p w14:paraId="43A8CB42" w14:textId="77777777" w:rsidR="00A80809" w:rsidRPr="00A80809" w:rsidRDefault="00A80809" w:rsidP="00A80809">
            <w:pPr>
              <w:rPr>
                <w:b/>
                <w:bCs/>
              </w:rPr>
            </w:pPr>
            <w:r w:rsidRPr="00A80809">
              <w:rPr>
                <w:b/>
                <w:bCs/>
              </w:rPr>
              <w:t>Valore Assoluto</w:t>
            </w:r>
          </w:p>
        </w:tc>
        <w:tc>
          <w:tcPr>
            <w:tcW w:w="744" w:type="pct"/>
            <w:shd w:val="clear" w:color="auto" w:fill="auto"/>
            <w:noWrap/>
            <w:hideMark/>
          </w:tcPr>
          <w:p w14:paraId="3D8A7AF1" w14:textId="77777777" w:rsidR="00A80809" w:rsidRPr="00A80809" w:rsidRDefault="00A80809" w:rsidP="00A80809">
            <w:pPr>
              <w:rPr>
                <w:b/>
                <w:bCs/>
              </w:rPr>
            </w:pPr>
            <w:r w:rsidRPr="00A80809">
              <w:rPr>
                <w:b/>
                <w:bCs/>
              </w:rPr>
              <w:t>Valore Percentuale</w:t>
            </w:r>
          </w:p>
        </w:tc>
      </w:tr>
      <w:tr w:rsidR="00A80809" w:rsidRPr="00A80809" w14:paraId="5F4C75D5" w14:textId="77777777" w:rsidTr="00FC035A">
        <w:trPr>
          <w:trHeight w:val="255"/>
        </w:trPr>
        <w:tc>
          <w:tcPr>
            <w:tcW w:w="2849" w:type="pct"/>
            <w:shd w:val="clear" w:color="auto" w:fill="auto"/>
            <w:noWrap/>
            <w:vAlign w:val="bottom"/>
            <w:hideMark/>
          </w:tcPr>
          <w:p w14:paraId="55C582B4" w14:textId="77777777" w:rsidR="00A80809" w:rsidRPr="00A80809" w:rsidRDefault="00A80809" w:rsidP="00A80809">
            <w:r w:rsidRPr="00A80809">
              <w:t>Grande popolazione (oltre a 1.000.000 di abitanti)</w:t>
            </w:r>
          </w:p>
        </w:tc>
        <w:tc>
          <w:tcPr>
            <w:tcW w:w="1407" w:type="pct"/>
            <w:shd w:val="clear" w:color="auto" w:fill="auto"/>
            <w:noWrap/>
            <w:vAlign w:val="bottom"/>
            <w:hideMark/>
          </w:tcPr>
          <w:p w14:paraId="15341E9E" w14:textId="77777777" w:rsidR="00A80809" w:rsidRPr="00A80809" w:rsidRDefault="00A80809" w:rsidP="00A80809">
            <w:r w:rsidRPr="00A80809">
              <w:t>11</w:t>
            </w:r>
          </w:p>
        </w:tc>
        <w:tc>
          <w:tcPr>
            <w:tcW w:w="744" w:type="pct"/>
            <w:shd w:val="clear" w:color="auto" w:fill="auto"/>
            <w:noWrap/>
            <w:vAlign w:val="bottom"/>
            <w:hideMark/>
          </w:tcPr>
          <w:p w14:paraId="0B87441B" w14:textId="77777777" w:rsidR="00A80809" w:rsidRPr="00A80809" w:rsidRDefault="00A80809" w:rsidP="00A80809">
            <w:r w:rsidRPr="00A80809">
              <w:t>10,4</w:t>
            </w:r>
          </w:p>
        </w:tc>
      </w:tr>
      <w:tr w:rsidR="00A80809" w:rsidRPr="00A80809" w14:paraId="771D66D7" w14:textId="77777777" w:rsidTr="00FC035A">
        <w:trPr>
          <w:trHeight w:val="255"/>
        </w:trPr>
        <w:tc>
          <w:tcPr>
            <w:tcW w:w="2849" w:type="pct"/>
            <w:shd w:val="clear" w:color="auto" w:fill="auto"/>
            <w:noWrap/>
            <w:vAlign w:val="bottom"/>
            <w:hideMark/>
          </w:tcPr>
          <w:p w14:paraId="135144CC" w14:textId="77777777" w:rsidR="00A80809" w:rsidRPr="00A80809" w:rsidRDefault="00A80809" w:rsidP="00A80809">
            <w:r w:rsidRPr="00A80809">
              <w:t>Piccola popolazione (inferiore a 300.000 abitanti)</w:t>
            </w:r>
          </w:p>
        </w:tc>
        <w:tc>
          <w:tcPr>
            <w:tcW w:w="1407" w:type="pct"/>
            <w:shd w:val="clear" w:color="auto" w:fill="auto"/>
            <w:noWrap/>
            <w:vAlign w:val="bottom"/>
            <w:hideMark/>
          </w:tcPr>
          <w:p w14:paraId="2FC90679" w14:textId="77777777" w:rsidR="00A80809" w:rsidRPr="00A80809" w:rsidRDefault="00A80809" w:rsidP="00A80809">
            <w:r w:rsidRPr="00A80809">
              <w:t>33</w:t>
            </w:r>
          </w:p>
        </w:tc>
        <w:tc>
          <w:tcPr>
            <w:tcW w:w="744" w:type="pct"/>
            <w:shd w:val="clear" w:color="auto" w:fill="auto"/>
            <w:noWrap/>
            <w:vAlign w:val="bottom"/>
            <w:hideMark/>
          </w:tcPr>
          <w:p w14:paraId="4E0A2AEB" w14:textId="77777777" w:rsidR="00A80809" w:rsidRPr="00A80809" w:rsidRDefault="00A80809" w:rsidP="00A80809">
            <w:r w:rsidRPr="00A80809">
              <w:t>33,0</w:t>
            </w:r>
          </w:p>
        </w:tc>
      </w:tr>
      <w:tr w:rsidR="00A80809" w:rsidRPr="00A80809" w14:paraId="061C6277" w14:textId="77777777" w:rsidTr="00FC035A">
        <w:trPr>
          <w:trHeight w:val="255"/>
        </w:trPr>
        <w:tc>
          <w:tcPr>
            <w:tcW w:w="2849" w:type="pct"/>
            <w:shd w:val="clear" w:color="auto" w:fill="auto"/>
            <w:noWrap/>
            <w:vAlign w:val="bottom"/>
            <w:hideMark/>
          </w:tcPr>
          <w:p w14:paraId="3DFF2E68" w14:textId="77777777" w:rsidR="00A80809" w:rsidRPr="00A80809" w:rsidRDefault="00A80809" w:rsidP="00A80809">
            <w:r w:rsidRPr="00A80809">
              <w:t>Media popolazione (tra 300.000 e 1.000.000 abitanti)</w:t>
            </w:r>
          </w:p>
        </w:tc>
        <w:tc>
          <w:tcPr>
            <w:tcW w:w="1407" w:type="pct"/>
            <w:shd w:val="clear" w:color="auto" w:fill="auto"/>
            <w:noWrap/>
            <w:vAlign w:val="bottom"/>
            <w:hideMark/>
          </w:tcPr>
          <w:p w14:paraId="01A41FA1" w14:textId="77777777" w:rsidR="00A80809" w:rsidRPr="00A80809" w:rsidRDefault="00A80809" w:rsidP="00A80809">
            <w:r w:rsidRPr="00A80809">
              <w:t>57</w:t>
            </w:r>
          </w:p>
        </w:tc>
        <w:tc>
          <w:tcPr>
            <w:tcW w:w="744" w:type="pct"/>
            <w:shd w:val="clear" w:color="auto" w:fill="auto"/>
            <w:noWrap/>
            <w:vAlign w:val="bottom"/>
            <w:hideMark/>
          </w:tcPr>
          <w:p w14:paraId="105E20C8" w14:textId="77777777" w:rsidR="00A80809" w:rsidRPr="00A80809" w:rsidRDefault="00A80809" w:rsidP="00A80809">
            <w:r w:rsidRPr="00A80809">
              <w:t>56,6</w:t>
            </w:r>
          </w:p>
        </w:tc>
      </w:tr>
    </w:tbl>
    <w:p w14:paraId="09FA2AFD" w14:textId="77777777" w:rsidR="00A80809" w:rsidRPr="00A80809" w:rsidRDefault="00A80809" w:rsidP="00A80809"/>
    <w:p w14:paraId="5D4FED22" w14:textId="2A972DFB" w:rsidR="00A80809" w:rsidRPr="00A80809" w:rsidRDefault="00015593" w:rsidP="00A80809">
      <w:r>
        <w:t>Prospetto</w:t>
      </w:r>
      <w:r w:rsidR="00A80809" w:rsidRPr="00A80809">
        <w:t xml:space="preserve"> 4 – Spesa corrente e spesa in conto capitale delle Province e Città Metropolitane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09"/>
        <w:gridCol w:w="3719"/>
        <w:gridCol w:w="3914"/>
      </w:tblGrid>
      <w:tr w:rsidR="00A80809" w:rsidRPr="00A80809" w14:paraId="6071AEC9" w14:textId="77777777" w:rsidTr="00FC035A">
        <w:trPr>
          <w:trHeight w:val="283"/>
        </w:trPr>
        <w:tc>
          <w:tcPr>
            <w:tcW w:w="1082" w:type="pct"/>
            <w:shd w:val="clear" w:color="auto" w:fill="FFFFFF"/>
            <w:tcMar>
              <w:top w:w="15" w:type="dxa"/>
              <w:left w:w="15" w:type="dxa"/>
              <w:bottom w:w="0" w:type="dxa"/>
              <w:right w:w="15" w:type="dxa"/>
            </w:tcMar>
            <w:vAlign w:val="bottom"/>
            <w:hideMark/>
          </w:tcPr>
          <w:p w14:paraId="5E4922E7" w14:textId="77777777" w:rsidR="00A80809" w:rsidRPr="00A80809" w:rsidRDefault="00A80809" w:rsidP="00A80809">
            <w:r w:rsidRPr="00A80809">
              <w:rPr>
                <w:b/>
                <w:bCs/>
              </w:rPr>
              <w:t>Classe</w:t>
            </w:r>
          </w:p>
        </w:tc>
        <w:tc>
          <w:tcPr>
            <w:tcW w:w="1909" w:type="pct"/>
            <w:shd w:val="clear" w:color="auto" w:fill="FFFFFF"/>
            <w:tcMar>
              <w:top w:w="15" w:type="dxa"/>
              <w:left w:w="15" w:type="dxa"/>
              <w:bottom w:w="0" w:type="dxa"/>
              <w:right w:w="15" w:type="dxa"/>
            </w:tcMar>
            <w:vAlign w:val="bottom"/>
            <w:hideMark/>
          </w:tcPr>
          <w:p w14:paraId="36CCEF81" w14:textId="77777777" w:rsidR="00A80809" w:rsidRPr="00A80809" w:rsidRDefault="00A80809" w:rsidP="00A80809">
            <w:r w:rsidRPr="00A80809">
              <w:rPr>
                <w:b/>
                <w:bCs/>
              </w:rPr>
              <w:t>Spesa corrente</w:t>
            </w:r>
          </w:p>
        </w:tc>
        <w:tc>
          <w:tcPr>
            <w:tcW w:w="2009" w:type="pct"/>
            <w:shd w:val="clear" w:color="auto" w:fill="FFFFFF"/>
            <w:tcMar>
              <w:top w:w="15" w:type="dxa"/>
              <w:left w:w="15" w:type="dxa"/>
              <w:bottom w:w="0" w:type="dxa"/>
              <w:right w:w="15" w:type="dxa"/>
            </w:tcMar>
            <w:vAlign w:val="bottom"/>
            <w:hideMark/>
          </w:tcPr>
          <w:p w14:paraId="6F0CFDCE" w14:textId="77777777" w:rsidR="00A80809" w:rsidRPr="00A80809" w:rsidRDefault="00A80809" w:rsidP="00A80809">
            <w:r w:rsidRPr="00A80809">
              <w:rPr>
                <w:b/>
                <w:bCs/>
              </w:rPr>
              <w:t>Spesa in conto capitale</w:t>
            </w:r>
          </w:p>
        </w:tc>
      </w:tr>
      <w:tr w:rsidR="00A80809" w:rsidRPr="00A80809" w14:paraId="67D1C1EA" w14:textId="77777777" w:rsidTr="00FC035A">
        <w:trPr>
          <w:trHeight w:val="283"/>
        </w:trPr>
        <w:tc>
          <w:tcPr>
            <w:tcW w:w="1082" w:type="pct"/>
            <w:shd w:val="clear" w:color="auto" w:fill="FFFFFF"/>
            <w:tcMar>
              <w:top w:w="15" w:type="dxa"/>
              <w:left w:w="15" w:type="dxa"/>
              <w:bottom w:w="0" w:type="dxa"/>
              <w:right w:w="15" w:type="dxa"/>
            </w:tcMar>
            <w:hideMark/>
          </w:tcPr>
          <w:p w14:paraId="044B450B" w14:textId="77777777" w:rsidR="00A80809" w:rsidRPr="00A80809" w:rsidRDefault="00A80809" w:rsidP="00A80809">
            <w:r w:rsidRPr="00A80809">
              <w:rPr>
                <w:b/>
                <w:bCs/>
              </w:rPr>
              <w:t>Bassa</w:t>
            </w:r>
          </w:p>
        </w:tc>
        <w:tc>
          <w:tcPr>
            <w:tcW w:w="1909" w:type="pct"/>
            <w:shd w:val="clear" w:color="auto" w:fill="FFFFFF"/>
            <w:tcMar>
              <w:top w:w="15" w:type="dxa"/>
              <w:left w:w="15" w:type="dxa"/>
              <w:bottom w:w="0" w:type="dxa"/>
              <w:right w:w="15" w:type="dxa"/>
            </w:tcMar>
            <w:hideMark/>
          </w:tcPr>
          <w:p w14:paraId="56A45950" w14:textId="77777777" w:rsidR="00A80809" w:rsidRPr="00A80809" w:rsidRDefault="00A80809" w:rsidP="00A80809">
            <w:r w:rsidRPr="00A80809">
              <w:t>fino a 111,74 euro</w:t>
            </w:r>
          </w:p>
        </w:tc>
        <w:tc>
          <w:tcPr>
            <w:tcW w:w="2009" w:type="pct"/>
            <w:shd w:val="clear" w:color="auto" w:fill="FFFFFF"/>
            <w:tcMar>
              <w:top w:w="15" w:type="dxa"/>
              <w:left w:w="15" w:type="dxa"/>
              <w:bottom w:w="0" w:type="dxa"/>
              <w:right w:w="15" w:type="dxa"/>
            </w:tcMar>
            <w:hideMark/>
          </w:tcPr>
          <w:p w14:paraId="7A03333E" w14:textId="77777777" w:rsidR="00A80809" w:rsidRPr="00A80809" w:rsidRDefault="00A80809" w:rsidP="00A80809">
            <w:r w:rsidRPr="00A80809">
              <w:t>fino a 35,9 euro</w:t>
            </w:r>
          </w:p>
        </w:tc>
      </w:tr>
      <w:tr w:rsidR="00A80809" w:rsidRPr="00A80809" w14:paraId="5BB69A82" w14:textId="77777777" w:rsidTr="00FC035A">
        <w:trPr>
          <w:trHeight w:val="283"/>
        </w:trPr>
        <w:tc>
          <w:tcPr>
            <w:tcW w:w="1082" w:type="pct"/>
            <w:shd w:val="clear" w:color="auto" w:fill="FFFFFF"/>
            <w:tcMar>
              <w:top w:w="15" w:type="dxa"/>
              <w:left w:w="15" w:type="dxa"/>
              <w:bottom w:w="0" w:type="dxa"/>
              <w:right w:w="15" w:type="dxa"/>
            </w:tcMar>
            <w:hideMark/>
          </w:tcPr>
          <w:p w14:paraId="75091987" w14:textId="77777777" w:rsidR="00A80809" w:rsidRPr="00A80809" w:rsidRDefault="00A80809" w:rsidP="00A80809">
            <w:r w:rsidRPr="00A80809">
              <w:rPr>
                <w:b/>
                <w:bCs/>
              </w:rPr>
              <w:t>Media</w:t>
            </w:r>
          </w:p>
        </w:tc>
        <w:tc>
          <w:tcPr>
            <w:tcW w:w="1909" w:type="pct"/>
            <w:shd w:val="clear" w:color="auto" w:fill="FFFFFF"/>
            <w:tcMar>
              <w:top w:w="15" w:type="dxa"/>
              <w:left w:w="15" w:type="dxa"/>
              <w:bottom w:w="0" w:type="dxa"/>
              <w:right w:w="15" w:type="dxa"/>
            </w:tcMar>
            <w:hideMark/>
          </w:tcPr>
          <w:p w14:paraId="792542FB" w14:textId="77777777" w:rsidR="00A80809" w:rsidRPr="00A80809" w:rsidRDefault="00A80809" w:rsidP="00A80809">
            <w:r w:rsidRPr="00A80809">
              <w:t>da 111,74 euro a 136.28 euro</w:t>
            </w:r>
          </w:p>
        </w:tc>
        <w:tc>
          <w:tcPr>
            <w:tcW w:w="2009" w:type="pct"/>
            <w:shd w:val="clear" w:color="auto" w:fill="FFFFFF"/>
            <w:tcMar>
              <w:top w:w="15" w:type="dxa"/>
              <w:left w:w="15" w:type="dxa"/>
              <w:bottom w:w="0" w:type="dxa"/>
              <w:right w:w="15" w:type="dxa"/>
            </w:tcMar>
            <w:hideMark/>
          </w:tcPr>
          <w:p w14:paraId="2587899A" w14:textId="77777777" w:rsidR="00A80809" w:rsidRPr="00A80809" w:rsidRDefault="00A80809" w:rsidP="00A80809">
            <w:r w:rsidRPr="00A80809">
              <w:t>da 36 euro a 49,9 euro</w:t>
            </w:r>
          </w:p>
        </w:tc>
      </w:tr>
      <w:tr w:rsidR="00A80809" w:rsidRPr="00A80809" w14:paraId="347A903E" w14:textId="77777777" w:rsidTr="00FC035A">
        <w:trPr>
          <w:trHeight w:val="283"/>
        </w:trPr>
        <w:tc>
          <w:tcPr>
            <w:tcW w:w="1082" w:type="pct"/>
            <w:shd w:val="clear" w:color="auto" w:fill="FFFFFF"/>
            <w:tcMar>
              <w:top w:w="15" w:type="dxa"/>
              <w:left w:w="15" w:type="dxa"/>
              <w:bottom w:w="0" w:type="dxa"/>
              <w:right w:w="15" w:type="dxa"/>
            </w:tcMar>
            <w:hideMark/>
          </w:tcPr>
          <w:p w14:paraId="07524499" w14:textId="77777777" w:rsidR="00A80809" w:rsidRPr="00A80809" w:rsidRDefault="00A80809" w:rsidP="00A80809">
            <w:r w:rsidRPr="00A80809">
              <w:rPr>
                <w:b/>
                <w:bCs/>
              </w:rPr>
              <w:t>Alta</w:t>
            </w:r>
          </w:p>
        </w:tc>
        <w:tc>
          <w:tcPr>
            <w:tcW w:w="1909" w:type="pct"/>
            <w:shd w:val="clear" w:color="auto" w:fill="FFFFFF"/>
            <w:tcMar>
              <w:top w:w="15" w:type="dxa"/>
              <w:left w:w="15" w:type="dxa"/>
              <w:bottom w:w="0" w:type="dxa"/>
              <w:right w:w="15" w:type="dxa"/>
            </w:tcMar>
            <w:hideMark/>
          </w:tcPr>
          <w:p w14:paraId="7A1E4D1D" w14:textId="77777777" w:rsidR="00A80809" w:rsidRPr="00A80809" w:rsidRDefault="00A80809" w:rsidP="00A80809">
            <w:r w:rsidRPr="00A80809">
              <w:t>oltre 136.28 euro</w:t>
            </w:r>
          </w:p>
        </w:tc>
        <w:tc>
          <w:tcPr>
            <w:tcW w:w="2009" w:type="pct"/>
            <w:shd w:val="clear" w:color="auto" w:fill="FFFFFF"/>
            <w:tcMar>
              <w:top w:w="15" w:type="dxa"/>
              <w:left w:w="15" w:type="dxa"/>
              <w:bottom w:w="0" w:type="dxa"/>
              <w:right w:w="15" w:type="dxa"/>
            </w:tcMar>
            <w:hideMark/>
          </w:tcPr>
          <w:p w14:paraId="77813FD4" w14:textId="77777777" w:rsidR="00A80809" w:rsidRPr="00A80809" w:rsidRDefault="00A80809" w:rsidP="00A80809">
            <w:r w:rsidRPr="00A80809">
              <w:t>oltre 49,9 euro</w:t>
            </w:r>
          </w:p>
        </w:tc>
      </w:tr>
    </w:tbl>
    <w:p w14:paraId="5CFC6779" w14:textId="77777777" w:rsidR="00A80809" w:rsidRPr="00A80809" w:rsidRDefault="00A80809" w:rsidP="00A80809"/>
    <w:p w14:paraId="5A1A7BB3" w14:textId="77777777" w:rsidR="00A80809" w:rsidRPr="00A80809" w:rsidRDefault="00A80809" w:rsidP="00A80809"/>
    <w:p w14:paraId="45086DB3" w14:textId="77777777" w:rsidR="00A80809" w:rsidRPr="00A80809" w:rsidRDefault="00A80809" w:rsidP="00A80809">
      <w:r w:rsidRPr="00A80809">
        <w:t>Infine, l'analisi è stata estesa alle Regioni e alle aziende sanitarie/ospedaliere, caratterizzate da una complessità gestionale e finanziaria che le distingue dagli altri enti considerati.</w:t>
      </w:r>
    </w:p>
    <w:p w14:paraId="1F93E7BA" w14:textId="77777777" w:rsidR="001B2EE5" w:rsidRDefault="00A80809" w:rsidP="00A80809">
      <w:r w:rsidRPr="00A80809">
        <w:t xml:space="preserve">Inoltre, i servizi pubblici erogati a livello regionale, come ad esempio sanità e trasporti, non devono soddisfare solamente i bisogni della popolazione residente. </w:t>
      </w:r>
    </w:p>
    <w:p w14:paraId="6F65468A" w14:textId="3B615202" w:rsidR="00A80809" w:rsidRPr="00A80809" w:rsidRDefault="00A80809" w:rsidP="00A80809">
      <w:r w:rsidRPr="00A80809">
        <w:t>In virtù di questi elementi non si rende necessaria un’ulteriore categorizzazione, garantendo un controllo centralizzato e uniforme.</w:t>
      </w:r>
    </w:p>
    <w:p w14:paraId="2FBBC097" w14:textId="77777777" w:rsidR="00F833A7" w:rsidRDefault="00A80809" w:rsidP="00A80809">
      <w:r w:rsidRPr="00A80809">
        <w:t>Poiché gran parte del budget regionale è destinato al finanziamento delle aziende sanitarie e ospedaliere</w:t>
      </w:r>
      <w:r w:rsidR="00F833A7">
        <w:t xml:space="preserve"> sono state evitate</w:t>
      </w:r>
      <w:r w:rsidRPr="00A80809">
        <w:t xml:space="preserve"> duplicazioni nelle analisi. </w:t>
      </w:r>
    </w:p>
    <w:p w14:paraId="1B500629" w14:textId="032EA6A5" w:rsidR="00A80809" w:rsidRPr="00A80809" w:rsidRDefault="00A80809" w:rsidP="00A80809">
      <w:r w:rsidRPr="00A80809">
        <w:t>Di conseguenza, la VIG è stata dichiarata obbligatoria per tutte le Regioni, senza necessità di ulteriori categorizzazioni, garantendo un controllo centralizzato e uniforme.</w:t>
      </w:r>
    </w:p>
    <w:p w14:paraId="68090744" w14:textId="53AB66F2" w:rsidR="00A80809" w:rsidRDefault="00A80809" w:rsidP="00A80809">
      <w:r w:rsidRPr="00A80809">
        <w:t xml:space="preserve">Questo approccio metodologico assicura che l’analisi dell’impatto di genere </w:t>
      </w:r>
      <w:r w:rsidR="00F833A7">
        <w:t>sia</w:t>
      </w:r>
      <w:r w:rsidRPr="00A80809">
        <w:t xml:space="preserve"> effettuata laddove le decisioni di spesa sono concretamente prese, evitando sovrapposizioni e ottimizzando le risorse analitiche disponibili.</w:t>
      </w:r>
    </w:p>
    <w:p w14:paraId="1D6D6FF6" w14:textId="77777777" w:rsidR="00C37D8F" w:rsidRPr="00A80809" w:rsidRDefault="00C37D8F" w:rsidP="00A80809"/>
    <w:p w14:paraId="74F590BD" w14:textId="16CA8640" w:rsidR="00554097" w:rsidRPr="00554097" w:rsidRDefault="00A80809" w:rsidP="00A80809">
      <w:r w:rsidRPr="00A80809">
        <w:t>Questa analisi</w:t>
      </w:r>
      <w:r w:rsidR="00F833A7">
        <w:t>,</w:t>
      </w:r>
      <w:r w:rsidRPr="00A80809">
        <w:t xml:space="preserve"> elaborata su dataset da AIDA PA con un </w:t>
      </w:r>
      <w:proofErr w:type="spellStart"/>
      <w:r w:rsidRPr="00A80809">
        <w:t>cut</w:t>
      </w:r>
      <w:proofErr w:type="spellEnd"/>
      <w:r w:rsidRPr="00A80809">
        <w:t>-off al 31/12/2024</w:t>
      </w:r>
      <w:r w:rsidR="00F833A7">
        <w:t>,</w:t>
      </w:r>
      <w:r w:rsidRPr="00A80809">
        <w:t xml:space="preserve"> letta in combinato disposto con la rendicontazione sociale e i dati dei bilanci di genere delle PA consente di determinare l’ambito di applicazione della Valutazione di Impatto di Genere (VIG) </w:t>
      </w:r>
      <w:r w:rsidRPr="00C37D8F">
        <w:rPr>
          <w:b/>
          <w:bCs/>
        </w:rPr>
        <w:t>per tutti gli enti locali con una soglia minima di 5.000 abitanti e a tutte le Regioni</w:t>
      </w:r>
      <w:r w:rsidR="00833003" w:rsidRPr="00833003">
        <w:t xml:space="preserve">, nonché tutti gli Enti pubblici </w:t>
      </w:r>
      <w:r w:rsidR="00827A44">
        <w:t xml:space="preserve">non territoriali </w:t>
      </w:r>
      <w:r w:rsidR="00833003" w:rsidRPr="00833003">
        <w:t>come meglio identificati al p</w:t>
      </w:r>
      <w:r w:rsidR="000E46EA">
        <w:t>unto</w:t>
      </w:r>
      <w:r w:rsidR="00827A44">
        <w:t xml:space="preserve"> </w:t>
      </w:r>
      <w:r w:rsidR="00833003" w:rsidRPr="00833003">
        <w:t>7.1 che segue</w:t>
      </w:r>
      <w:r w:rsidR="00554097" w:rsidRPr="00833003">
        <w:t>.</w:t>
      </w:r>
    </w:p>
    <w:p w14:paraId="4CEC5518" w14:textId="2771687D" w:rsidR="00454928" w:rsidRPr="00F271C8" w:rsidRDefault="00454928" w:rsidP="00F271C8"/>
    <w:p w14:paraId="08FEC2F5" w14:textId="40117680" w:rsidR="002F11F5" w:rsidRPr="002F11F5" w:rsidRDefault="00897192" w:rsidP="007A5ABD">
      <w:pPr>
        <w:pStyle w:val="Titolo1"/>
        <w:rPr>
          <w:rFonts w:eastAsia="Arial Unicode MS"/>
        </w:rPr>
      </w:pPr>
      <w:bookmarkStart w:id="43" w:name="_Toc201141705"/>
      <w:r w:rsidRPr="00897192">
        <w:rPr>
          <w:rFonts w:eastAsia="Arial Unicode MS"/>
        </w:rPr>
        <w:t>IL GENDER BUDGETING</w:t>
      </w:r>
      <w:bookmarkEnd w:id="43"/>
      <w:r w:rsidRPr="00897192">
        <w:rPr>
          <w:rFonts w:eastAsia="Arial Unicode MS"/>
        </w:rPr>
        <w:t xml:space="preserve"> </w:t>
      </w:r>
    </w:p>
    <w:p w14:paraId="786747E3" w14:textId="76686CC1" w:rsidR="002F11F5" w:rsidRPr="002F11F5" w:rsidRDefault="002F11F5" w:rsidP="002F11F5">
      <w:r w:rsidRPr="002F11F5">
        <w:t>Con il termine “Gender Budgeting” il Consiglio d'Europa si riferisce a una "valutazione dei bilanci basata sul genere che incorpora una prospettiva di genere a tutti i livelli del processo di bilancio e ristruttura le entrate e le spese al fine di promuovere l'uguaglianza di genere". Si tratta di un insieme di tecniche, integrate in un approccio di mainstreaming di genere</w:t>
      </w:r>
      <w:r w:rsidRPr="002F11F5">
        <w:rPr>
          <w:vertAlign w:val="superscript"/>
        </w:rPr>
        <w:footnoteReference w:id="28"/>
      </w:r>
      <w:r w:rsidRPr="002F11F5">
        <w:t>, a disposizione dei governi per conseguire un’allocazione delle risorse che abbia come obiettivo, tra gli altri, la promozione dell’uguaglianza di genere. In particolare, l'integrazione della dimensione di genere riconosce la necessità di rimuovere i pregiudizi di genere intrinseci dai processi e dagli strumenti chiave del governo, nonché di mettere a punto strategie per promuovere in modo significativo l'uguaglianza di genere.</w:t>
      </w:r>
    </w:p>
    <w:p w14:paraId="2D3DCC72" w14:textId="77777777" w:rsidR="002F11F5" w:rsidRPr="002F11F5" w:rsidRDefault="002F11F5" w:rsidP="002F11F5"/>
    <w:p w14:paraId="2E6F73AA" w14:textId="77777777" w:rsidR="00B728E1" w:rsidRDefault="002F11F5" w:rsidP="002F11F5">
      <w:r w:rsidRPr="002F11F5">
        <w:t xml:space="preserve">Le allocazioni di bilancio possono aumentare le disuguaglianze ma sono anche uno strumento fondamentale per raggiungere gli obiettivi di uguaglianza di genere. </w:t>
      </w:r>
    </w:p>
    <w:p w14:paraId="36D90A5B" w14:textId="6DD8BA49" w:rsidR="002F11F5" w:rsidRPr="002F11F5" w:rsidRDefault="002F11F5" w:rsidP="002F11F5">
      <w:r w:rsidRPr="002F11F5">
        <w:t xml:space="preserve">L'OCSE </w:t>
      </w:r>
      <w:r w:rsidR="00965893">
        <w:t>(</w:t>
      </w:r>
      <w:r w:rsidR="00965893" w:rsidRPr="00965893">
        <w:t>Organizzazione per la Cooperazione e lo Sviluppo Economico</w:t>
      </w:r>
      <w:r w:rsidR="00965893">
        <w:t>)</w:t>
      </w:r>
      <w:r w:rsidR="00965893" w:rsidRPr="00965893">
        <w:t xml:space="preserve"> </w:t>
      </w:r>
      <w:r w:rsidRPr="002F11F5">
        <w:t>sottolinea come il gender budgeting sia uno strumento a disposizione dei governi per promuovere l'uguaglianza di genere attraverso il processo di bilancio, affrontando una serie di disuguaglianze incorporate nelle politiche pubbliche e nell'allocazione delle risorse.</w:t>
      </w:r>
    </w:p>
    <w:p w14:paraId="3F6F0FD6" w14:textId="77777777" w:rsidR="002F11F5" w:rsidRPr="002F11F5" w:rsidRDefault="002F11F5" w:rsidP="002F11F5"/>
    <w:p w14:paraId="22BF6939" w14:textId="16BB6C06" w:rsidR="002F11F5" w:rsidRPr="002F11F5" w:rsidRDefault="099806E9" w:rsidP="002F11F5">
      <w:r>
        <w:t xml:space="preserve">Si distinguono tre modalità di gender budgeting che </w:t>
      </w:r>
      <w:r w:rsidRPr="099806E9">
        <w:t>devono</w:t>
      </w:r>
      <w:r>
        <w:t xml:space="preserve"> essere applicate in conformità alla presente prassi:</w:t>
      </w:r>
    </w:p>
    <w:p w14:paraId="24347970" w14:textId="77777777" w:rsidR="002F11F5" w:rsidRPr="00637803" w:rsidRDefault="002F11F5" w:rsidP="00637803">
      <w:pPr>
        <w:pStyle w:val="Paragrafoelenco"/>
        <w:numPr>
          <w:ilvl w:val="0"/>
          <w:numId w:val="21"/>
        </w:numPr>
        <w:rPr>
          <w:b w:val="0"/>
          <w:bCs/>
        </w:rPr>
      </w:pPr>
      <w:r w:rsidRPr="00637803">
        <w:rPr>
          <w:b w:val="0"/>
          <w:bCs/>
        </w:rPr>
        <w:t>ex</w:t>
      </w:r>
      <w:r w:rsidRPr="00637803">
        <w:rPr>
          <w:b w:val="0"/>
          <w:bCs/>
        </w:rPr>
        <w:noBreakHyphen/>
        <w:t>ante, basato sulla conoscenza degli impatti delle misure esistenti e future sull’uguaglianza di genere, con lo scopo di indirizzare la progettazione delle nuove misure;</w:t>
      </w:r>
    </w:p>
    <w:p w14:paraId="0C238D57" w14:textId="77777777" w:rsidR="002F11F5" w:rsidRPr="00637803" w:rsidRDefault="002F11F5" w:rsidP="00637803">
      <w:pPr>
        <w:pStyle w:val="Paragrafoelenco"/>
        <w:numPr>
          <w:ilvl w:val="0"/>
          <w:numId w:val="21"/>
        </w:numPr>
        <w:rPr>
          <w:b w:val="0"/>
          <w:bCs/>
        </w:rPr>
      </w:pPr>
      <w:r w:rsidRPr="00637803">
        <w:rPr>
          <w:b w:val="0"/>
          <w:bCs/>
        </w:rPr>
        <w:t>in itinere, che implica la previsione di obiettivi e allocazioni finanziarie per facilitare il raggiungimento degli obiettivi di genere;</w:t>
      </w:r>
    </w:p>
    <w:p w14:paraId="4AF1F94E" w14:textId="77777777" w:rsidR="002F11F5" w:rsidRPr="00637803" w:rsidRDefault="002F11F5" w:rsidP="00637803">
      <w:pPr>
        <w:pStyle w:val="Paragrafoelenco"/>
        <w:numPr>
          <w:ilvl w:val="0"/>
          <w:numId w:val="21"/>
        </w:numPr>
        <w:rPr>
          <w:b w:val="0"/>
          <w:bCs/>
        </w:rPr>
      </w:pPr>
      <w:r w:rsidRPr="00637803">
        <w:rPr>
          <w:b w:val="0"/>
          <w:bCs/>
        </w:rPr>
        <w:t>ex</w:t>
      </w:r>
      <w:r w:rsidRPr="00637803">
        <w:rPr>
          <w:b w:val="0"/>
          <w:bCs/>
        </w:rPr>
        <w:noBreakHyphen/>
        <w:t>post, centrato sulla valutazione e sulla conoscenza di come la spesa abbia influito positivamente sull’uguaglianza di genere.</w:t>
      </w:r>
    </w:p>
    <w:p w14:paraId="3FF5EFBD" w14:textId="77777777" w:rsidR="002F11F5" w:rsidRPr="002F11F5" w:rsidRDefault="002F11F5" w:rsidP="002F11F5"/>
    <w:p w14:paraId="6E096172" w14:textId="77777777" w:rsidR="00FD5D79" w:rsidRDefault="00FD5D79" w:rsidP="007A5ABD"/>
    <w:p w14:paraId="5251C4B0" w14:textId="07D7DB27" w:rsidR="002D7D7E" w:rsidRDefault="00FD5D79" w:rsidP="002D7D7E">
      <w:r>
        <w:t xml:space="preserve">Per </w:t>
      </w:r>
      <w:r w:rsidR="001A5DB7">
        <w:t xml:space="preserve">realizzare una programmazione finanziaria coerente con il principio del gender budgeting è necessario </w:t>
      </w:r>
      <w:r w:rsidR="002D7D7E">
        <w:t xml:space="preserve">che le amministrazioni coinvolte adottino </w:t>
      </w:r>
      <w:r w:rsidR="00A25A16">
        <w:t>c</w:t>
      </w:r>
      <w:r w:rsidR="00A25A16" w:rsidRPr="00A25A16">
        <w:t>riteri di classificazione delle spese secondo una prospettiva di genere</w:t>
      </w:r>
      <w:r w:rsidR="00A25A16">
        <w:t>.</w:t>
      </w:r>
    </w:p>
    <w:p w14:paraId="38EB8ED4" w14:textId="05ADFB55" w:rsidR="002D7D7E" w:rsidRDefault="002D7D7E" w:rsidP="002D7D7E">
      <w:r w:rsidRPr="002D7D7E">
        <w:t>Le linee guida per la riclassificazione del bilancio dello Stato in una prospettiva di genere</w:t>
      </w:r>
      <w:r w:rsidR="00A25A16">
        <w:rPr>
          <w:rStyle w:val="Rimandonotaapidipagina"/>
        </w:rPr>
        <w:footnoteReference w:id="29"/>
      </w:r>
      <w:r w:rsidRPr="002D7D7E">
        <w:t xml:space="preserve"> riprendono e ampliano i criteri adottati negli anni precedenti, introducendo alcuni elementi per affinare l’analisi e per agevolare il coordinamento e l’uniformità dell’esercizio. </w:t>
      </w:r>
    </w:p>
    <w:p w14:paraId="0F90B06E" w14:textId="77777777" w:rsidR="00FF20A0" w:rsidRPr="002D7D7E" w:rsidRDefault="00FF20A0" w:rsidP="002D7D7E"/>
    <w:p w14:paraId="3FD33F0C" w14:textId="77777777" w:rsidR="002D7D7E" w:rsidRPr="002D7D7E" w:rsidRDefault="002D7D7E" w:rsidP="00FF20A0">
      <w:pPr>
        <w:spacing w:after="120"/>
      </w:pPr>
      <w:r w:rsidRPr="002D7D7E">
        <w:t xml:space="preserve">In sostanza, l’analisi richiede una distinzione delle spese in base alle seguenti categorie: </w:t>
      </w:r>
    </w:p>
    <w:p w14:paraId="262675A5" w14:textId="77777777" w:rsidR="002D7D7E" w:rsidRPr="002D7D7E" w:rsidRDefault="002D7D7E" w:rsidP="00FF20A0">
      <w:pPr>
        <w:numPr>
          <w:ilvl w:val="0"/>
          <w:numId w:val="27"/>
        </w:numPr>
        <w:spacing w:after="120"/>
        <w:ind w:left="426" w:hanging="426"/>
      </w:pPr>
      <w:r w:rsidRPr="002D7D7E">
        <w:rPr>
          <w:b/>
          <w:bCs/>
        </w:rPr>
        <w:lastRenderedPageBreak/>
        <w:t>“dirette a ridurre le diseguaglianze di genere” (codice 1)</w:t>
      </w:r>
      <w:r w:rsidRPr="002D7D7E">
        <w:t xml:space="preserve">, relative alle misure direttamente riconducili o mirate a ridurre le diseguaglianze di genere o a favorire le pari opportunità; </w:t>
      </w:r>
    </w:p>
    <w:p w14:paraId="2C7BFCF4" w14:textId="77777777" w:rsidR="002D7D7E" w:rsidRPr="002D7D7E" w:rsidRDefault="002D7D7E" w:rsidP="00FF20A0">
      <w:pPr>
        <w:numPr>
          <w:ilvl w:val="0"/>
          <w:numId w:val="27"/>
        </w:numPr>
        <w:spacing w:after="120"/>
        <w:ind w:left="426" w:hanging="426"/>
      </w:pPr>
      <w:r w:rsidRPr="002D7D7E">
        <w:rPr>
          <w:b/>
          <w:bCs/>
        </w:rPr>
        <w:t>“sensibili” (codice 2)</w:t>
      </w:r>
      <w:r w:rsidRPr="002D7D7E">
        <w:t xml:space="preserve">, relative a misure che hanno o potrebbero avere un impatto, anche indiretto, sulle diseguaglianze tra uomini e donne; </w:t>
      </w:r>
    </w:p>
    <w:p w14:paraId="2BA3F775" w14:textId="77777777" w:rsidR="002D7D7E" w:rsidRPr="002D7D7E" w:rsidRDefault="002D7D7E" w:rsidP="00FF20A0">
      <w:pPr>
        <w:numPr>
          <w:ilvl w:val="0"/>
          <w:numId w:val="27"/>
        </w:numPr>
        <w:spacing w:after="120"/>
        <w:ind w:left="426" w:hanging="426"/>
      </w:pPr>
      <w:r w:rsidRPr="002D7D7E">
        <w:rPr>
          <w:b/>
          <w:bCs/>
        </w:rPr>
        <w:t>“da approfondire” (codice 0*)</w:t>
      </w:r>
      <w:r w:rsidRPr="002D7D7E">
        <w:t xml:space="preserve">, relative alle misure che, per alcune loro caratteristiche (natura della spesa e potenziali beneficiari), dovrebbero uscire dal perimetro delle spese neutrali e che, come tali, richiedono ulteriori successivi approfondimenti per verificare possibili impatti diretti o indiretti sulle disuguaglianze di genere; </w:t>
      </w:r>
    </w:p>
    <w:p w14:paraId="4C58FCAC" w14:textId="77777777" w:rsidR="002D7D7E" w:rsidRPr="002D7D7E" w:rsidRDefault="002D7D7E" w:rsidP="00FF20A0">
      <w:pPr>
        <w:numPr>
          <w:ilvl w:val="0"/>
          <w:numId w:val="27"/>
        </w:numPr>
        <w:spacing w:after="120"/>
        <w:ind w:left="426" w:hanging="426"/>
      </w:pPr>
      <w:r w:rsidRPr="002D7D7E">
        <w:rPr>
          <w:b/>
          <w:bCs/>
        </w:rPr>
        <w:t>“neutrali” (codice 0)</w:t>
      </w:r>
      <w:r w:rsidRPr="002D7D7E">
        <w:t xml:space="preserve">, relative alle misure che non hanno impatti diretti o indiretti sul genere. </w:t>
      </w:r>
    </w:p>
    <w:p w14:paraId="115C14EB" w14:textId="0CE24308" w:rsidR="00FD5D79" w:rsidRDefault="00FD5D79" w:rsidP="007A5ABD">
      <w:r>
        <w:t xml:space="preserve"> </w:t>
      </w:r>
    </w:p>
    <w:p w14:paraId="63ED300D" w14:textId="77777777" w:rsidR="00565EC3" w:rsidRDefault="00565EC3" w:rsidP="00846E78">
      <w:pPr>
        <w:keepNext/>
        <w:jc w:val="center"/>
      </w:pPr>
      <w:r w:rsidRPr="00565EC3">
        <w:rPr>
          <w:noProof/>
        </w:rPr>
        <w:drawing>
          <wp:inline distT="0" distB="0" distL="0" distR="0" wp14:anchorId="6A05EFF0" wp14:editId="33170235">
            <wp:extent cx="5289112" cy="3400065"/>
            <wp:effectExtent l="0" t="0" r="6985" b="0"/>
            <wp:docPr id="20597729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6660" cy="3404917"/>
                    </a:xfrm>
                    <a:prstGeom prst="rect">
                      <a:avLst/>
                    </a:prstGeom>
                    <a:noFill/>
                    <a:ln>
                      <a:noFill/>
                    </a:ln>
                  </pic:spPr>
                </pic:pic>
              </a:graphicData>
            </a:graphic>
          </wp:inline>
        </w:drawing>
      </w:r>
    </w:p>
    <w:p w14:paraId="7779BDA4" w14:textId="77777777" w:rsidR="00ED60BE" w:rsidRDefault="00ED60BE" w:rsidP="00ED60BE">
      <w:pPr>
        <w:jc w:val="center"/>
      </w:pPr>
    </w:p>
    <w:p w14:paraId="4C45001F" w14:textId="7CCD9FD6" w:rsidR="00565EC3" w:rsidRDefault="00ED60BE" w:rsidP="00ED60BE">
      <w:pPr>
        <w:jc w:val="center"/>
      </w:pPr>
      <w:r>
        <w:t>Figura 1</w:t>
      </w:r>
      <w:r w:rsidRPr="006E0844">
        <w:t xml:space="preserve"> – </w:t>
      </w:r>
      <w:r w:rsidRPr="00ED60BE">
        <w:t>Schema riclassificazione delle spese in una prospettiva di genere</w:t>
      </w:r>
    </w:p>
    <w:p w14:paraId="3F53616E" w14:textId="77777777" w:rsidR="00ED60BE" w:rsidRDefault="00ED60BE" w:rsidP="00ED60BE">
      <w:pPr>
        <w:jc w:val="center"/>
      </w:pPr>
    </w:p>
    <w:p w14:paraId="240C51F6" w14:textId="4E6F774D" w:rsidR="005953E0" w:rsidRDefault="00DB74CB" w:rsidP="007A5ABD">
      <w:r>
        <w:t>Infine, si sottolinea che p</w:t>
      </w:r>
      <w:r w:rsidR="00AD22ED">
        <w:t xml:space="preserve">er </w:t>
      </w:r>
      <w:r w:rsidR="001E1FD4">
        <w:t>a</w:t>
      </w:r>
      <w:r w:rsidR="002F11F5" w:rsidRPr="002F11F5">
        <w:t xml:space="preserve">dottare una valutazione di impatto di genere per le politiche di bilancio del settore pubblico </w:t>
      </w:r>
      <w:r w:rsidR="0026365E" w:rsidRPr="008867CC">
        <w:t>deve</w:t>
      </w:r>
      <w:r w:rsidR="0026365E" w:rsidRPr="00ED6D65">
        <w:rPr>
          <w:color w:val="FF0000"/>
        </w:rPr>
        <w:t xml:space="preserve"> </w:t>
      </w:r>
      <w:r w:rsidR="0026365E">
        <w:t>essere verificato</w:t>
      </w:r>
      <w:r w:rsidR="002F11F5" w:rsidRPr="002F11F5">
        <w:t xml:space="preserve"> che il gender budgeting </w:t>
      </w:r>
      <w:r w:rsidR="001E1FD4">
        <w:t>sia</w:t>
      </w:r>
      <w:r w:rsidR="002F11F5" w:rsidRPr="002F11F5">
        <w:t xml:space="preserve"> applicato estensivamente alle politiche di bilancio, a tutti i livelli</w:t>
      </w:r>
      <w:r w:rsidR="001E1FD4">
        <w:t>,</w:t>
      </w:r>
      <w:r w:rsidR="002F11F5" w:rsidRPr="002F11F5">
        <w:t xml:space="preserve"> da quelli centrali a quelli locali</w:t>
      </w:r>
      <w:r w:rsidR="001E1FD4">
        <w:t xml:space="preserve">, </w:t>
      </w:r>
      <w:r w:rsidR="002F11F5" w:rsidRPr="002F11F5">
        <w:t>e con modalità in grado di influire direttamente sulle scelte strategiche</w:t>
      </w:r>
      <w:r w:rsidR="005953E0">
        <w:t>:</w:t>
      </w:r>
    </w:p>
    <w:p w14:paraId="5C4C9123" w14:textId="27C179CE" w:rsidR="005953E0" w:rsidRPr="005953E0" w:rsidRDefault="002F11F5" w:rsidP="005953E0">
      <w:pPr>
        <w:pStyle w:val="Paragrafoelenco"/>
        <w:numPr>
          <w:ilvl w:val="0"/>
          <w:numId w:val="20"/>
        </w:numPr>
        <w:rPr>
          <w:b w:val="0"/>
          <w:bCs/>
        </w:rPr>
      </w:pPr>
      <w:r w:rsidRPr="005953E0">
        <w:rPr>
          <w:b w:val="0"/>
          <w:bCs/>
        </w:rPr>
        <w:t>analizzando i diversi impatti di un budget sui sessi</w:t>
      </w:r>
      <w:r w:rsidR="005953E0" w:rsidRPr="005953E0">
        <w:rPr>
          <w:b w:val="0"/>
          <w:bCs/>
        </w:rPr>
        <w:t>;</w:t>
      </w:r>
    </w:p>
    <w:p w14:paraId="7105590F" w14:textId="446A9CAB" w:rsidR="005953E0" w:rsidRPr="005953E0" w:rsidRDefault="002F11F5" w:rsidP="005953E0">
      <w:pPr>
        <w:pStyle w:val="Paragrafoelenco"/>
        <w:numPr>
          <w:ilvl w:val="0"/>
          <w:numId w:val="20"/>
        </w:numPr>
        <w:rPr>
          <w:b w:val="0"/>
          <w:bCs/>
        </w:rPr>
      </w:pPr>
      <w:r w:rsidRPr="005953E0">
        <w:rPr>
          <w:b w:val="0"/>
          <w:bCs/>
        </w:rPr>
        <w:t>stabilendo obiettivi e traguardi per l'uguaglianza</w:t>
      </w:r>
      <w:r w:rsidR="005953E0" w:rsidRPr="005953E0">
        <w:rPr>
          <w:b w:val="0"/>
          <w:bCs/>
        </w:rPr>
        <w:t>;</w:t>
      </w:r>
    </w:p>
    <w:p w14:paraId="45C48582" w14:textId="490914E0" w:rsidR="005953E0" w:rsidRPr="005953E0" w:rsidRDefault="002F11F5" w:rsidP="005953E0">
      <w:pPr>
        <w:pStyle w:val="Paragrafoelenco"/>
        <w:numPr>
          <w:ilvl w:val="0"/>
          <w:numId w:val="20"/>
        </w:numPr>
        <w:rPr>
          <w:b w:val="0"/>
          <w:bCs/>
        </w:rPr>
      </w:pPr>
      <w:r w:rsidRPr="005953E0">
        <w:rPr>
          <w:b w:val="0"/>
          <w:bCs/>
        </w:rPr>
        <w:t>stanziando fondi per sostenere tali obiettivi</w:t>
      </w:r>
      <w:r w:rsidR="005953E0" w:rsidRPr="005953E0">
        <w:rPr>
          <w:b w:val="0"/>
          <w:bCs/>
        </w:rPr>
        <w:t>;</w:t>
      </w:r>
    </w:p>
    <w:p w14:paraId="161BC8A4" w14:textId="673E8D12" w:rsidR="00DC0B73" w:rsidRDefault="002F11F5" w:rsidP="00DC0B73">
      <w:pPr>
        <w:pStyle w:val="Paragrafoelenco"/>
        <w:numPr>
          <w:ilvl w:val="0"/>
          <w:numId w:val="20"/>
        </w:numPr>
        <w:rPr>
          <w:b w:val="0"/>
          <w:bCs/>
        </w:rPr>
      </w:pPr>
      <w:r w:rsidRPr="005953E0">
        <w:rPr>
          <w:b w:val="0"/>
          <w:bCs/>
        </w:rPr>
        <w:t>favorendo la consapevolezza degli effetti degli schemi finanziari sui generi.</w:t>
      </w:r>
    </w:p>
    <w:p w14:paraId="1A9393F5" w14:textId="77777777" w:rsidR="00F13AEF" w:rsidRPr="00FD5D79" w:rsidRDefault="00F13AEF" w:rsidP="00F13AEF">
      <w:pPr>
        <w:pStyle w:val="Paragrafoelenco"/>
        <w:numPr>
          <w:ilvl w:val="0"/>
          <w:numId w:val="0"/>
        </w:numPr>
        <w:ind w:left="720"/>
        <w:rPr>
          <w:b w:val="0"/>
          <w:bCs/>
        </w:rPr>
      </w:pPr>
    </w:p>
    <w:p w14:paraId="7DFF47F9" w14:textId="0CEBD851" w:rsidR="00BF51B9" w:rsidRDefault="00790F77" w:rsidP="00790F77">
      <w:pPr>
        <w:pStyle w:val="Titolo1"/>
        <w:rPr>
          <w:rFonts w:eastAsia="Arial Unicode MS"/>
        </w:rPr>
      </w:pPr>
      <w:bookmarkStart w:id="44" w:name="_Toc201141706"/>
      <w:r w:rsidRPr="00790F77">
        <w:rPr>
          <w:rFonts w:eastAsia="Arial Unicode MS"/>
        </w:rPr>
        <w:lastRenderedPageBreak/>
        <w:t xml:space="preserve">LA VALUTAZIONE </w:t>
      </w:r>
      <w:r w:rsidR="00E168B8">
        <w:rPr>
          <w:rFonts w:eastAsia="Arial Unicode MS"/>
        </w:rPr>
        <w:t xml:space="preserve">DI </w:t>
      </w:r>
      <w:r w:rsidRPr="00790F77">
        <w:rPr>
          <w:rFonts w:eastAsia="Arial Unicode MS"/>
        </w:rPr>
        <w:t>IMPATTO DI GENERE (VIG)</w:t>
      </w:r>
      <w:bookmarkEnd w:id="44"/>
    </w:p>
    <w:p w14:paraId="1A8B8BF8" w14:textId="29A53E0D" w:rsidR="00500E74" w:rsidRDefault="00EB0286" w:rsidP="00500E74">
      <w:pPr>
        <w:pStyle w:val="Titolo2"/>
        <w:rPr>
          <w:rFonts w:eastAsia="Arial Unicode MS"/>
        </w:rPr>
      </w:pPr>
      <w:bookmarkStart w:id="45" w:name="_Toc201141707"/>
      <w:r>
        <w:rPr>
          <w:rFonts w:eastAsia="Arial Unicode MS"/>
        </w:rPr>
        <w:t>Ambito di applicazione</w:t>
      </w:r>
      <w:bookmarkEnd w:id="45"/>
      <w:r>
        <w:rPr>
          <w:rFonts w:eastAsia="Arial Unicode MS"/>
        </w:rPr>
        <w:t xml:space="preserve"> </w:t>
      </w:r>
    </w:p>
    <w:p w14:paraId="06E5456F" w14:textId="77777777" w:rsidR="00C03BE2" w:rsidRDefault="00C03BE2" w:rsidP="0077317E"/>
    <w:p w14:paraId="782671FB" w14:textId="5EF78A7A" w:rsidR="00C03BE2" w:rsidRDefault="00C835CA" w:rsidP="0077317E">
      <w:r>
        <w:t>La presente prassi si applica a:</w:t>
      </w:r>
    </w:p>
    <w:p w14:paraId="5512083D" w14:textId="77777777" w:rsidR="001D39CB" w:rsidRDefault="001D39CB" w:rsidP="0077317E"/>
    <w:p w14:paraId="5F6E9F3E" w14:textId="5D424529" w:rsidR="00C835CA" w:rsidRPr="00C835CA" w:rsidRDefault="00827A44" w:rsidP="00C835CA">
      <w:pPr>
        <w:pStyle w:val="Paragrafoelenco"/>
        <w:numPr>
          <w:ilvl w:val="0"/>
          <w:numId w:val="20"/>
        </w:numPr>
      </w:pPr>
      <w:r>
        <w:rPr>
          <w:b w:val="0"/>
          <w:bCs/>
        </w:rPr>
        <w:t xml:space="preserve">enti locali </w:t>
      </w:r>
      <w:r w:rsidR="00C835CA">
        <w:rPr>
          <w:b w:val="0"/>
          <w:bCs/>
        </w:rPr>
        <w:t>con oltre 5000 abitanti</w:t>
      </w:r>
      <w:r w:rsidR="007E7C76">
        <w:rPr>
          <w:b w:val="0"/>
          <w:bCs/>
        </w:rPr>
        <w:t>;</w:t>
      </w:r>
    </w:p>
    <w:p w14:paraId="1367EA73" w14:textId="667D8F41" w:rsidR="00C835CA" w:rsidRPr="001D39CB" w:rsidRDefault="007E7C76" w:rsidP="00C835CA">
      <w:pPr>
        <w:pStyle w:val="Paragrafoelenco"/>
        <w:numPr>
          <w:ilvl w:val="0"/>
          <w:numId w:val="20"/>
        </w:numPr>
      </w:pPr>
      <w:r>
        <w:rPr>
          <w:b w:val="0"/>
          <w:bCs/>
        </w:rPr>
        <w:t>e</w:t>
      </w:r>
      <w:r w:rsidR="00C835CA">
        <w:rPr>
          <w:b w:val="0"/>
          <w:bCs/>
        </w:rPr>
        <w:t>nt</w:t>
      </w:r>
      <w:r w:rsidR="00B7315F">
        <w:rPr>
          <w:b w:val="0"/>
          <w:bCs/>
        </w:rPr>
        <w:t xml:space="preserve">i pubblici territoriali </w:t>
      </w:r>
      <w:r w:rsidR="00C26298">
        <w:rPr>
          <w:b w:val="0"/>
          <w:bCs/>
        </w:rPr>
        <w:t>(</w:t>
      </w:r>
      <w:r w:rsidR="00C26298" w:rsidRPr="00C26298">
        <w:rPr>
          <w:b w:val="0"/>
          <w:bCs/>
        </w:rPr>
        <w:t>i.e. Regioni, Province, ecc.)</w:t>
      </w:r>
      <w:r w:rsidR="00C26298">
        <w:rPr>
          <w:b w:val="0"/>
          <w:bCs/>
        </w:rPr>
        <w:t xml:space="preserve"> </w:t>
      </w:r>
      <w:r w:rsidR="00B7315F">
        <w:rPr>
          <w:b w:val="0"/>
          <w:bCs/>
        </w:rPr>
        <w:t>e non territoriali</w:t>
      </w:r>
      <w:r w:rsidR="00C26298">
        <w:rPr>
          <w:b w:val="0"/>
          <w:bCs/>
        </w:rPr>
        <w:t xml:space="preserve"> (i.e., INPS, </w:t>
      </w:r>
      <w:r w:rsidR="00C26298" w:rsidRPr="00C26298">
        <w:rPr>
          <w:b w:val="0"/>
          <w:bCs/>
        </w:rPr>
        <w:t xml:space="preserve">ASL, Direzioni sanitarie pubbliche, </w:t>
      </w:r>
      <w:proofErr w:type="spellStart"/>
      <w:r w:rsidR="00C26298" w:rsidRPr="00C26298">
        <w:rPr>
          <w:b w:val="0"/>
          <w:bCs/>
        </w:rPr>
        <w:t>etc</w:t>
      </w:r>
      <w:proofErr w:type="spellEnd"/>
      <w:r w:rsidR="00C26298" w:rsidRPr="00C26298">
        <w:rPr>
          <w:b w:val="0"/>
          <w:bCs/>
        </w:rPr>
        <w:t>)</w:t>
      </w:r>
      <w:r>
        <w:rPr>
          <w:b w:val="0"/>
          <w:bCs/>
        </w:rPr>
        <w:t>;</w:t>
      </w:r>
    </w:p>
    <w:p w14:paraId="00C35EA9" w14:textId="5D01D86A" w:rsidR="001D39CB" w:rsidRPr="001D39CB" w:rsidRDefault="007E7C76" w:rsidP="00C835CA">
      <w:pPr>
        <w:pStyle w:val="Paragrafoelenco"/>
        <w:numPr>
          <w:ilvl w:val="0"/>
          <w:numId w:val="20"/>
        </w:numPr>
        <w:rPr>
          <w:b w:val="0"/>
          <w:bCs/>
        </w:rPr>
      </w:pPr>
      <w:r>
        <w:rPr>
          <w:b w:val="0"/>
          <w:bCs/>
        </w:rPr>
        <w:t>l</w:t>
      </w:r>
      <w:r w:rsidR="001D39CB" w:rsidRPr="001D39CB">
        <w:rPr>
          <w:b w:val="0"/>
          <w:bCs/>
        </w:rPr>
        <w:t xml:space="preserve">e controllate </w:t>
      </w:r>
      <w:r w:rsidR="00324087">
        <w:rPr>
          <w:b w:val="0"/>
          <w:bCs/>
        </w:rPr>
        <w:t xml:space="preserve">e partecipate </w:t>
      </w:r>
      <w:r w:rsidR="001D39CB" w:rsidRPr="001D39CB">
        <w:rPr>
          <w:b w:val="0"/>
          <w:bCs/>
        </w:rPr>
        <w:t>che siano beneficiari</w:t>
      </w:r>
      <w:r w:rsidR="00324087">
        <w:rPr>
          <w:b w:val="0"/>
          <w:bCs/>
        </w:rPr>
        <w:t>e</w:t>
      </w:r>
      <w:r w:rsidR="001D39CB" w:rsidRPr="001D39CB">
        <w:rPr>
          <w:b w:val="0"/>
          <w:bCs/>
        </w:rPr>
        <w:t xml:space="preserve"> e/o attuatori di oppure abbiano interventi e/o programmi di investimento finanziati</w:t>
      </w:r>
      <w:r w:rsidR="00AF33A5">
        <w:rPr>
          <w:b w:val="0"/>
          <w:bCs/>
        </w:rPr>
        <w:t xml:space="preserve"> </w:t>
      </w:r>
      <w:r w:rsidR="00AF33A5" w:rsidRPr="00AF33A5">
        <w:rPr>
          <w:b w:val="0"/>
          <w:bCs/>
        </w:rPr>
        <w:t>(</w:t>
      </w:r>
      <w:proofErr w:type="spellStart"/>
      <w:r w:rsidR="00AF33A5" w:rsidRPr="00AF33A5">
        <w:rPr>
          <w:b w:val="0"/>
          <w:bCs/>
        </w:rPr>
        <w:t>i.e</w:t>
      </w:r>
      <w:proofErr w:type="spellEnd"/>
      <w:r w:rsidR="00AF33A5" w:rsidRPr="00AF33A5">
        <w:rPr>
          <w:b w:val="0"/>
          <w:bCs/>
        </w:rPr>
        <w:t xml:space="preserve"> PON - Programmi Operativi Nazionali e POR - P. O. Regionali)</w:t>
      </w:r>
      <w:r w:rsidR="00995AB0">
        <w:rPr>
          <w:rStyle w:val="Rimandonotaapidipagina"/>
          <w:b w:val="0"/>
          <w:bCs/>
        </w:rPr>
        <w:footnoteReference w:id="30"/>
      </w:r>
      <w:r>
        <w:rPr>
          <w:b w:val="0"/>
          <w:bCs/>
        </w:rPr>
        <w:t>.</w:t>
      </w:r>
    </w:p>
    <w:p w14:paraId="0D55F2B3" w14:textId="05A41CA0" w:rsidR="00B7315F" w:rsidRDefault="00B7315F" w:rsidP="004C6B0E">
      <w:pPr>
        <w:ind w:left="360"/>
      </w:pPr>
    </w:p>
    <w:p w14:paraId="66C1F6D6" w14:textId="1EFDD65F" w:rsidR="004C6B0E" w:rsidRDefault="099806E9" w:rsidP="099806E9">
      <w:r>
        <w:t>Di seguito sono riportati a titolo esemplificativo e non esaustivo i fondi, i programmi di finanziamento e</w:t>
      </w:r>
      <w:r w:rsidRPr="099806E9">
        <w:t xml:space="preserve"> gli strumenti  </w:t>
      </w:r>
      <w:r w:rsidR="00680089">
        <w:t>:</w:t>
      </w:r>
    </w:p>
    <w:p w14:paraId="5FB8D62B" w14:textId="77777777" w:rsidR="00232416" w:rsidRPr="00D21244" w:rsidRDefault="099806E9" w:rsidP="000621BA">
      <w:pPr>
        <w:pStyle w:val="Paragrafoelenco"/>
        <w:numPr>
          <w:ilvl w:val="0"/>
          <w:numId w:val="22"/>
        </w:numPr>
        <w:rPr>
          <w:b w:val="0"/>
          <w:color w:val="auto"/>
        </w:rPr>
      </w:pPr>
      <w:r w:rsidRPr="099806E9">
        <w:rPr>
          <w:b w:val="0"/>
          <w:color w:val="auto"/>
        </w:rPr>
        <w:t>Fondi regionali</w:t>
      </w:r>
    </w:p>
    <w:p w14:paraId="50FD0989" w14:textId="4AA7A26E" w:rsidR="00232416" w:rsidRPr="00D21244" w:rsidRDefault="099806E9" w:rsidP="000621BA">
      <w:pPr>
        <w:pStyle w:val="Paragrafoelenco"/>
        <w:numPr>
          <w:ilvl w:val="0"/>
          <w:numId w:val="22"/>
        </w:numPr>
        <w:rPr>
          <w:b w:val="0"/>
          <w:color w:val="auto"/>
        </w:rPr>
      </w:pPr>
      <w:r w:rsidRPr="099806E9">
        <w:rPr>
          <w:b w:val="0"/>
          <w:color w:val="auto"/>
        </w:rPr>
        <w:t xml:space="preserve">Fondi comunali (da tasse quote partecipate </w:t>
      </w:r>
      <w:proofErr w:type="spellStart"/>
      <w:r w:rsidRPr="099806E9">
        <w:rPr>
          <w:b w:val="0"/>
          <w:color w:val="auto"/>
        </w:rPr>
        <w:t>etc</w:t>
      </w:r>
      <w:proofErr w:type="spellEnd"/>
      <w:r w:rsidRPr="099806E9">
        <w:rPr>
          <w:b w:val="0"/>
          <w:color w:val="auto"/>
        </w:rPr>
        <w:t>…)</w:t>
      </w:r>
    </w:p>
    <w:p w14:paraId="1663A56A" w14:textId="77777777" w:rsidR="00232416" w:rsidRPr="00D21244" w:rsidRDefault="00232416" w:rsidP="00D21244">
      <w:pPr>
        <w:pStyle w:val="Paragrafoelenco"/>
        <w:numPr>
          <w:ilvl w:val="0"/>
          <w:numId w:val="17"/>
        </w:numPr>
        <w:rPr>
          <w:b w:val="0"/>
        </w:rPr>
      </w:pPr>
      <w:r w:rsidRPr="00D21244">
        <w:rPr>
          <w:b w:val="0"/>
        </w:rPr>
        <w:t>Fondi europei</w:t>
      </w:r>
    </w:p>
    <w:p w14:paraId="07CD826B" w14:textId="7CAE0050" w:rsidR="00232416" w:rsidRPr="00D21244" w:rsidRDefault="00232416" w:rsidP="00D21244">
      <w:pPr>
        <w:pStyle w:val="Paragrafoelenco"/>
        <w:numPr>
          <w:ilvl w:val="0"/>
          <w:numId w:val="17"/>
        </w:numPr>
        <w:rPr>
          <w:b w:val="0"/>
        </w:rPr>
      </w:pPr>
      <w:r w:rsidRPr="00D21244">
        <w:rPr>
          <w:b w:val="0"/>
        </w:rPr>
        <w:t>I Fondi strutturali e di investimento europei (Fondi SIE)</w:t>
      </w:r>
      <w:r w:rsidR="0063646F">
        <w:rPr>
          <w:b w:val="0"/>
        </w:rPr>
        <w:t>:</w:t>
      </w:r>
    </w:p>
    <w:p w14:paraId="7210EB1B" w14:textId="77777777" w:rsidR="00232416" w:rsidRPr="00D21244" w:rsidRDefault="00232416" w:rsidP="0063646F">
      <w:pPr>
        <w:pStyle w:val="Paragrafoelenco"/>
        <w:numPr>
          <w:ilvl w:val="1"/>
          <w:numId w:val="17"/>
        </w:numPr>
        <w:rPr>
          <w:b w:val="0"/>
        </w:rPr>
      </w:pPr>
      <w:r w:rsidRPr="00D21244">
        <w:rPr>
          <w:b w:val="0"/>
        </w:rPr>
        <w:t>FESR Fondo Europeo di Sviluppo Regionale</w:t>
      </w:r>
    </w:p>
    <w:p w14:paraId="0E185968" w14:textId="77777777" w:rsidR="00232416" w:rsidRPr="00D21244" w:rsidRDefault="00232416" w:rsidP="0063646F">
      <w:pPr>
        <w:pStyle w:val="Paragrafoelenco"/>
        <w:numPr>
          <w:ilvl w:val="1"/>
          <w:numId w:val="17"/>
        </w:numPr>
        <w:rPr>
          <w:b w:val="0"/>
        </w:rPr>
      </w:pPr>
      <w:r w:rsidRPr="00D21244">
        <w:rPr>
          <w:b w:val="0"/>
        </w:rPr>
        <w:t>FSE+ Fondo Sociale Europeo Plus</w:t>
      </w:r>
    </w:p>
    <w:p w14:paraId="572AA227" w14:textId="77777777" w:rsidR="00232416" w:rsidRPr="00D21244" w:rsidRDefault="00232416" w:rsidP="0063646F">
      <w:pPr>
        <w:pStyle w:val="Paragrafoelenco"/>
        <w:numPr>
          <w:ilvl w:val="1"/>
          <w:numId w:val="17"/>
        </w:numPr>
        <w:rPr>
          <w:b w:val="0"/>
        </w:rPr>
      </w:pPr>
      <w:r w:rsidRPr="00D21244">
        <w:rPr>
          <w:b w:val="0"/>
        </w:rPr>
        <w:t>FEASR Fondo Europeo Agricolo di Sviluppo Rurale</w:t>
      </w:r>
    </w:p>
    <w:p w14:paraId="199B94ED" w14:textId="77777777" w:rsidR="00232416" w:rsidRPr="00D21244" w:rsidRDefault="00232416" w:rsidP="0063646F">
      <w:pPr>
        <w:pStyle w:val="Paragrafoelenco"/>
        <w:numPr>
          <w:ilvl w:val="1"/>
          <w:numId w:val="17"/>
        </w:numPr>
        <w:rPr>
          <w:b w:val="0"/>
        </w:rPr>
      </w:pPr>
      <w:r w:rsidRPr="00D21244">
        <w:rPr>
          <w:b w:val="0"/>
        </w:rPr>
        <w:t>FEAMP Fondo europeo per gli affari marittimi, la pesca e l'acquacoltura</w:t>
      </w:r>
    </w:p>
    <w:p w14:paraId="21CC60D6" w14:textId="4CCC77C0" w:rsidR="00232416" w:rsidRPr="00D21244" w:rsidRDefault="00232416" w:rsidP="00945DDA">
      <w:pPr>
        <w:pStyle w:val="Paragrafoelenco"/>
        <w:numPr>
          <w:ilvl w:val="0"/>
          <w:numId w:val="17"/>
        </w:numPr>
        <w:rPr>
          <w:b w:val="0"/>
        </w:rPr>
      </w:pPr>
      <w:r w:rsidRPr="00D21244">
        <w:rPr>
          <w:b w:val="0"/>
        </w:rPr>
        <w:t>PNRR Piano Nazionale di Ripresa e Resilienza e PC (Programmi Complementari)</w:t>
      </w:r>
    </w:p>
    <w:p w14:paraId="38ABB51A" w14:textId="77777777" w:rsidR="00232416" w:rsidRPr="00D21244" w:rsidRDefault="00232416" w:rsidP="00D21244">
      <w:pPr>
        <w:pStyle w:val="Paragrafoelenco"/>
        <w:numPr>
          <w:ilvl w:val="0"/>
          <w:numId w:val="17"/>
        </w:numPr>
        <w:rPr>
          <w:b w:val="0"/>
        </w:rPr>
      </w:pPr>
      <w:r w:rsidRPr="00D21244">
        <w:rPr>
          <w:b w:val="0"/>
        </w:rPr>
        <w:t>FSC Fondo per lo Sviluppo e la Coesione e POC Programma Operativo Complementare</w:t>
      </w:r>
    </w:p>
    <w:p w14:paraId="742213A4" w14:textId="4DE61043" w:rsidR="00232416" w:rsidRPr="004A119E" w:rsidRDefault="099806E9" w:rsidP="000621BA">
      <w:pPr>
        <w:pStyle w:val="Paragrafoelenco"/>
        <w:numPr>
          <w:ilvl w:val="0"/>
          <w:numId w:val="22"/>
        </w:numPr>
        <w:rPr>
          <w:b w:val="0"/>
          <w:color w:val="auto"/>
        </w:rPr>
      </w:pPr>
      <w:r w:rsidRPr="099806E9">
        <w:rPr>
          <w:b w:val="0"/>
          <w:color w:val="auto"/>
        </w:rPr>
        <w:t>Fondo accantonamento (da fondi europei)</w:t>
      </w:r>
    </w:p>
    <w:p w14:paraId="36E4EBA4" w14:textId="25D029EB" w:rsidR="00500E74" w:rsidRPr="00500E74" w:rsidRDefault="099806E9" w:rsidP="099806E9">
      <w:pPr>
        <w:pStyle w:val="Titolo2"/>
        <w:rPr>
          <w:rFonts w:eastAsia="Arial Unicode MS"/>
        </w:rPr>
      </w:pPr>
      <w:bookmarkStart w:id="46" w:name="_Toc201141708"/>
      <w:r w:rsidRPr="099806E9">
        <w:rPr>
          <w:rFonts w:eastAsia="Arial Unicode MS"/>
        </w:rPr>
        <w:t>Gli indicatori</w:t>
      </w:r>
      <w:bookmarkEnd w:id="46"/>
      <w:r w:rsidRPr="099806E9">
        <w:rPr>
          <w:rFonts w:eastAsia="Arial Unicode MS"/>
        </w:rPr>
        <w:t xml:space="preserve"> </w:t>
      </w:r>
    </w:p>
    <w:p w14:paraId="24FDC7C1" w14:textId="12F80A6B" w:rsidR="00500E74" w:rsidRDefault="099806E9" w:rsidP="099806E9">
      <w:r w:rsidRPr="099806E9">
        <w:t>Di seguito sono riportati gli Indicatori che devono essere utilizzati in fase di Valutazione Impatto di Genere, sia Ex-ante che Ex-post suddivisi in tre aree:</w:t>
      </w:r>
    </w:p>
    <w:p w14:paraId="31AE585A" w14:textId="77777777" w:rsidR="00ED168A" w:rsidRDefault="00ED168A" w:rsidP="099806E9"/>
    <w:p w14:paraId="3AEA8B1E" w14:textId="71177A42" w:rsidR="00ED168A" w:rsidRDefault="099806E9" w:rsidP="000621BA">
      <w:pPr>
        <w:pStyle w:val="Paragrafoelenco"/>
        <w:numPr>
          <w:ilvl w:val="0"/>
          <w:numId w:val="22"/>
        </w:numPr>
        <w:rPr>
          <w:b w:val="0"/>
          <w:color w:val="auto"/>
        </w:rPr>
      </w:pPr>
      <w:r w:rsidRPr="099806E9">
        <w:rPr>
          <w:b w:val="0"/>
          <w:color w:val="auto"/>
        </w:rPr>
        <w:t>area A: allocazione risorse - indirizzamento risorse economiche ex ante (prospetto 5);</w:t>
      </w:r>
    </w:p>
    <w:p w14:paraId="0CC70409" w14:textId="2F36A45F" w:rsidR="00C9631F" w:rsidRDefault="099806E9" w:rsidP="000621BA">
      <w:pPr>
        <w:pStyle w:val="Paragrafoelenco"/>
        <w:numPr>
          <w:ilvl w:val="0"/>
          <w:numId w:val="22"/>
        </w:numPr>
        <w:rPr>
          <w:b w:val="0"/>
          <w:color w:val="auto"/>
        </w:rPr>
      </w:pPr>
      <w:r w:rsidRPr="099806E9">
        <w:rPr>
          <w:b w:val="0"/>
          <w:color w:val="auto"/>
        </w:rPr>
        <w:t>area B: affidamento a imprese esecutrici (prospetto 6);</w:t>
      </w:r>
    </w:p>
    <w:p w14:paraId="1DAE128F" w14:textId="30160CF1" w:rsidR="000F1F60" w:rsidRPr="00226198" w:rsidRDefault="099806E9" w:rsidP="000621BA">
      <w:pPr>
        <w:pStyle w:val="Paragrafoelenco"/>
        <w:numPr>
          <w:ilvl w:val="0"/>
          <w:numId w:val="22"/>
        </w:numPr>
        <w:rPr>
          <w:b w:val="0"/>
          <w:color w:val="auto"/>
        </w:rPr>
      </w:pPr>
      <w:r w:rsidRPr="099806E9">
        <w:rPr>
          <w:b w:val="0"/>
          <w:color w:val="auto"/>
        </w:rPr>
        <w:t>area C: azioni dirette della PA (prospetto 7).</w:t>
      </w:r>
    </w:p>
    <w:p w14:paraId="1F0BAB20" w14:textId="77777777" w:rsidR="00327346" w:rsidRDefault="00327346" w:rsidP="099806E9"/>
    <w:p w14:paraId="4FEA2EEA" w14:textId="1CF47439" w:rsidR="008A6358" w:rsidRDefault="099806E9" w:rsidP="099806E9">
      <w:r w:rsidRPr="099806E9">
        <w:t xml:space="preserve">Per ognuno di essi, all’interno del testo programmatico di ciascuna Misura o Programma di Investimento, deve essere dedicato un capitolo dove siano ben descritte le azioni effettuate per applicare gli indicatori specificandone al contempo sia la pianificazione nel tempo sia gli strumenti </w:t>
      </w:r>
      <w:r w:rsidRPr="099806E9">
        <w:lastRenderedPageBreak/>
        <w:t>con cui misurarne l’efficacia ex post. La misurazione ex-post deve essere effettuata con cadenza annuale e lo scostamento rispetto agli obiettivi deve essere giustificato.</w:t>
      </w:r>
    </w:p>
    <w:p w14:paraId="4380D307" w14:textId="77777777" w:rsidR="008A6358" w:rsidRDefault="008A6358" w:rsidP="099806E9"/>
    <w:p w14:paraId="582C2381" w14:textId="0074BF68" w:rsidR="0062052E" w:rsidRDefault="099806E9" w:rsidP="099806E9">
      <w:pPr>
        <w:sectPr w:rsidR="0062052E" w:rsidSect="00C972FA">
          <w:headerReference w:type="even" r:id="rId18"/>
          <w:headerReference w:type="default" r:id="rId19"/>
          <w:footerReference w:type="default" r:id="rId20"/>
          <w:headerReference w:type="first" r:id="rId21"/>
          <w:pgSz w:w="11906" w:h="16838" w:code="9"/>
          <w:pgMar w:top="1440" w:right="1077" w:bottom="1440" w:left="1077" w:header="709" w:footer="709" w:gutter="0"/>
          <w:cols w:space="720"/>
          <w:docGrid w:linePitch="360"/>
        </w:sectPr>
      </w:pPr>
      <w:r w:rsidRPr="099806E9">
        <w:t xml:space="preserve">La Valutazione Impatto di Genere (VIG) EX-ante, prima che misure e programmi vengano approvati, ed EX-Post, durante e dopo il rilascio di Misure e Programmi, deve essere svolta per lo sviluppo di progetti efficaci che rendano effettiva la Parità di Genere.  </w:t>
      </w:r>
    </w:p>
    <w:p w14:paraId="39D8CB88" w14:textId="4802EB07" w:rsidR="00BD329A" w:rsidRDefault="00BD329A" w:rsidP="008A6358"/>
    <w:p w14:paraId="28D3487A" w14:textId="7DC9FA80" w:rsidR="003F3DFD" w:rsidRDefault="003F3DFD" w:rsidP="00EB0E3F">
      <w:pPr>
        <w:spacing w:line="240" w:lineRule="auto"/>
        <w:jc w:val="left"/>
      </w:pPr>
    </w:p>
    <w:p w14:paraId="4BE63DA9" w14:textId="625C9ABA" w:rsidR="0047642B" w:rsidRDefault="0047642B" w:rsidP="0047642B">
      <w:pPr>
        <w:jc w:val="center"/>
      </w:pPr>
      <w:r w:rsidRPr="00755EB4">
        <w:t xml:space="preserve">Prospetto </w:t>
      </w:r>
      <w:r w:rsidR="00AC045E">
        <w:t>5</w:t>
      </w:r>
      <w:r w:rsidRPr="00755EB4">
        <w:t xml:space="preserve"> –</w:t>
      </w:r>
      <w:r w:rsidR="00A01DBC" w:rsidRPr="00A01DBC">
        <w:t xml:space="preserve"> </w:t>
      </w:r>
      <w:r w:rsidR="00FB2BB7">
        <w:t>Area A: A</w:t>
      </w:r>
      <w:r w:rsidR="0054748B" w:rsidRPr="00A01DBC">
        <w:t>llocazione risorse</w:t>
      </w:r>
      <w:r w:rsidR="00FB2BB7">
        <w:t xml:space="preserve"> - </w:t>
      </w:r>
      <w:r w:rsidR="0054748B" w:rsidRPr="00A01DBC">
        <w:t xml:space="preserve">indirizzamento risorse economiche </w:t>
      </w:r>
      <w:r w:rsidR="00FB2BB7">
        <w:t>EX</w:t>
      </w:r>
      <w:r w:rsidR="006E0844">
        <w:t>-</w:t>
      </w:r>
      <w:r w:rsidR="0054748B" w:rsidRPr="00A01DBC">
        <w:t>ante</w:t>
      </w:r>
    </w:p>
    <w:tbl>
      <w:tblPr>
        <w:tblStyle w:val="Grigliatabella"/>
        <w:tblW w:w="11194" w:type="dxa"/>
        <w:jc w:val="center"/>
        <w:tblLayout w:type="fixed"/>
        <w:tblLook w:val="04A0" w:firstRow="1" w:lastRow="0" w:firstColumn="1" w:lastColumn="0" w:noHBand="0" w:noVBand="1"/>
      </w:tblPr>
      <w:tblGrid>
        <w:gridCol w:w="421"/>
        <w:gridCol w:w="3069"/>
        <w:gridCol w:w="1467"/>
        <w:gridCol w:w="1417"/>
        <w:gridCol w:w="1559"/>
        <w:gridCol w:w="1276"/>
        <w:gridCol w:w="851"/>
        <w:gridCol w:w="1134"/>
      </w:tblGrid>
      <w:tr w:rsidR="002626A7" w:rsidRPr="002626A7" w14:paraId="7AFD1E5F" w14:textId="77777777" w:rsidTr="005F0C1F">
        <w:trPr>
          <w:jc w:val="center"/>
        </w:trPr>
        <w:tc>
          <w:tcPr>
            <w:tcW w:w="421" w:type="dxa"/>
            <w:vAlign w:val="center"/>
          </w:tcPr>
          <w:p w14:paraId="4B910974" w14:textId="77777777" w:rsidR="002626A7" w:rsidRPr="002626A7" w:rsidRDefault="002626A7" w:rsidP="002626A7">
            <w:pPr>
              <w:jc w:val="center"/>
              <w:rPr>
                <w:b/>
                <w:bCs/>
              </w:rPr>
            </w:pPr>
          </w:p>
        </w:tc>
        <w:tc>
          <w:tcPr>
            <w:tcW w:w="3069" w:type="dxa"/>
            <w:vAlign w:val="center"/>
          </w:tcPr>
          <w:p w14:paraId="162471FF" w14:textId="77777777" w:rsidR="002626A7" w:rsidRPr="002626A7" w:rsidRDefault="002626A7" w:rsidP="002626A7">
            <w:pPr>
              <w:jc w:val="center"/>
              <w:rPr>
                <w:b/>
                <w:bCs/>
              </w:rPr>
            </w:pPr>
            <w:r w:rsidRPr="002626A7">
              <w:rPr>
                <w:b/>
                <w:bCs/>
              </w:rPr>
              <w:t>Proposte tematiche</w:t>
            </w:r>
          </w:p>
        </w:tc>
        <w:tc>
          <w:tcPr>
            <w:tcW w:w="1467" w:type="dxa"/>
            <w:vAlign w:val="center"/>
          </w:tcPr>
          <w:p w14:paraId="0F3608B9" w14:textId="77777777" w:rsidR="002626A7" w:rsidRPr="002626A7" w:rsidRDefault="002626A7" w:rsidP="002626A7">
            <w:pPr>
              <w:jc w:val="center"/>
              <w:rPr>
                <w:b/>
                <w:bCs/>
              </w:rPr>
            </w:pPr>
            <w:r w:rsidRPr="002626A7">
              <w:rPr>
                <w:b/>
                <w:bCs/>
              </w:rPr>
              <w:t>Indicatore</w:t>
            </w:r>
          </w:p>
        </w:tc>
        <w:tc>
          <w:tcPr>
            <w:tcW w:w="1417" w:type="dxa"/>
            <w:vAlign w:val="center"/>
          </w:tcPr>
          <w:p w14:paraId="26F966D1" w14:textId="77777777" w:rsidR="002626A7" w:rsidRPr="002626A7" w:rsidRDefault="002626A7" w:rsidP="002626A7">
            <w:pPr>
              <w:jc w:val="center"/>
              <w:rPr>
                <w:b/>
                <w:bCs/>
              </w:rPr>
            </w:pPr>
            <w:r w:rsidRPr="002626A7">
              <w:rPr>
                <w:b/>
                <w:bCs/>
              </w:rPr>
              <w:t>Tipologia indicatore</w:t>
            </w:r>
          </w:p>
        </w:tc>
        <w:tc>
          <w:tcPr>
            <w:tcW w:w="1559" w:type="dxa"/>
            <w:vAlign w:val="center"/>
          </w:tcPr>
          <w:p w14:paraId="48EA2FF3" w14:textId="77777777" w:rsidR="002626A7" w:rsidRPr="002626A7" w:rsidRDefault="002626A7" w:rsidP="002626A7">
            <w:pPr>
              <w:jc w:val="center"/>
              <w:rPr>
                <w:b/>
                <w:bCs/>
              </w:rPr>
            </w:pPr>
            <w:r w:rsidRPr="002626A7">
              <w:rPr>
                <w:b/>
                <w:bCs/>
              </w:rPr>
              <w:t>Modalità misurazione</w:t>
            </w:r>
          </w:p>
        </w:tc>
        <w:tc>
          <w:tcPr>
            <w:tcW w:w="1276" w:type="dxa"/>
            <w:vAlign w:val="center"/>
          </w:tcPr>
          <w:p w14:paraId="5B3E56D1" w14:textId="77777777" w:rsidR="002626A7" w:rsidRPr="002626A7" w:rsidRDefault="002626A7" w:rsidP="002626A7">
            <w:pPr>
              <w:jc w:val="center"/>
              <w:rPr>
                <w:b/>
                <w:bCs/>
              </w:rPr>
            </w:pPr>
            <w:r w:rsidRPr="002626A7">
              <w:rPr>
                <w:b/>
                <w:bCs/>
              </w:rPr>
              <w:t>fonte</w:t>
            </w:r>
          </w:p>
        </w:tc>
        <w:tc>
          <w:tcPr>
            <w:tcW w:w="851" w:type="dxa"/>
            <w:vAlign w:val="center"/>
          </w:tcPr>
          <w:p w14:paraId="01956C17" w14:textId="77777777" w:rsidR="002626A7" w:rsidRPr="002626A7" w:rsidRDefault="002626A7" w:rsidP="002626A7">
            <w:pPr>
              <w:jc w:val="center"/>
              <w:rPr>
                <w:b/>
                <w:bCs/>
              </w:rPr>
            </w:pPr>
            <w:r w:rsidRPr="002626A7">
              <w:rPr>
                <w:b/>
                <w:bCs/>
              </w:rPr>
              <w:t>punti</w:t>
            </w:r>
          </w:p>
        </w:tc>
        <w:tc>
          <w:tcPr>
            <w:tcW w:w="1134" w:type="dxa"/>
            <w:vAlign w:val="center"/>
          </w:tcPr>
          <w:p w14:paraId="5C6071DD" w14:textId="77777777" w:rsidR="002626A7" w:rsidRPr="002626A7" w:rsidRDefault="002626A7" w:rsidP="002626A7">
            <w:pPr>
              <w:jc w:val="center"/>
              <w:rPr>
                <w:b/>
                <w:bCs/>
              </w:rPr>
            </w:pPr>
            <w:r w:rsidRPr="002626A7">
              <w:rPr>
                <w:b/>
                <w:bCs/>
              </w:rPr>
              <w:t>note</w:t>
            </w:r>
          </w:p>
        </w:tc>
      </w:tr>
      <w:tr w:rsidR="002626A7" w:rsidRPr="002626A7" w14:paraId="67F4FFF5" w14:textId="77777777" w:rsidTr="005F0C1F">
        <w:trPr>
          <w:jc w:val="center"/>
        </w:trPr>
        <w:tc>
          <w:tcPr>
            <w:tcW w:w="421" w:type="dxa"/>
            <w:vAlign w:val="center"/>
          </w:tcPr>
          <w:p w14:paraId="5B832E2D" w14:textId="77777777" w:rsidR="002626A7" w:rsidRPr="002626A7" w:rsidRDefault="002626A7" w:rsidP="002626A7">
            <w:pPr>
              <w:jc w:val="center"/>
              <w:rPr>
                <w:b/>
                <w:bCs/>
              </w:rPr>
            </w:pPr>
            <w:r w:rsidRPr="002626A7">
              <w:rPr>
                <w:b/>
                <w:bCs/>
              </w:rPr>
              <w:t>1</w:t>
            </w:r>
          </w:p>
        </w:tc>
        <w:tc>
          <w:tcPr>
            <w:tcW w:w="3069" w:type="dxa"/>
          </w:tcPr>
          <w:p w14:paraId="37C1791C" w14:textId="1DB82AEC" w:rsidR="002626A7" w:rsidRPr="002626A7" w:rsidRDefault="002626A7" w:rsidP="00A7690A">
            <w:pPr>
              <w:jc w:val="center"/>
              <w:rPr>
                <w:b/>
                <w:bCs/>
              </w:rPr>
            </w:pPr>
            <w:r w:rsidRPr="002626A7">
              <w:t>Classificazione delle spese della PA secondo prospettiva di genere (Dirette a ridurre le disuguaglianze di genere - codice 1; Sensibili - codice 2; Da approfondire - codice 0*; Neutrali - codice 0)</w:t>
            </w:r>
          </w:p>
        </w:tc>
        <w:tc>
          <w:tcPr>
            <w:tcW w:w="1467" w:type="dxa"/>
          </w:tcPr>
          <w:p w14:paraId="144FF3C0" w14:textId="7530133D" w:rsidR="002626A7" w:rsidRPr="002626A7" w:rsidRDefault="002626A7" w:rsidP="002626A7">
            <w:pPr>
              <w:jc w:val="center"/>
            </w:pPr>
          </w:p>
        </w:tc>
        <w:tc>
          <w:tcPr>
            <w:tcW w:w="1417" w:type="dxa"/>
          </w:tcPr>
          <w:p w14:paraId="5A46D8A7" w14:textId="77777777" w:rsidR="002626A7" w:rsidRPr="002626A7" w:rsidRDefault="002626A7" w:rsidP="002626A7">
            <w:pPr>
              <w:jc w:val="center"/>
            </w:pPr>
            <w:r w:rsidRPr="002626A7">
              <w:t>qualitativo</w:t>
            </w:r>
          </w:p>
        </w:tc>
        <w:tc>
          <w:tcPr>
            <w:tcW w:w="1559" w:type="dxa"/>
          </w:tcPr>
          <w:p w14:paraId="6AF25894" w14:textId="77777777" w:rsidR="002626A7" w:rsidRPr="002626A7" w:rsidRDefault="002626A7" w:rsidP="002626A7">
            <w:pPr>
              <w:jc w:val="center"/>
            </w:pPr>
            <w:r w:rsidRPr="002626A7">
              <w:t>Si/No</w:t>
            </w:r>
          </w:p>
        </w:tc>
        <w:tc>
          <w:tcPr>
            <w:tcW w:w="1276" w:type="dxa"/>
          </w:tcPr>
          <w:p w14:paraId="6E3D24C4" w14:textId="77777777" w:rsidR="002626A7" w:rsidRPr="002626A7" w:rsidRDefault="002626A7" w:rsidP="002626A7">
            <w:pPr>
              <w:jc w:val="center"/>
            </w:pPr>
            <w:r w:rsidRPr="002626A7">
              <w:t>Interna / dato ente / Bilancio dello Stato</w:t>
            </w:r>
          </w:p>
        </w:tc>
        <w:tc>
          <w:tcPr>
            <w:tcW w:w="851" w:type="dxa"/>
          </w:tcPr>
          <w:p w14:paraId="3AB86EE9" w14:textId="77777777" w:rsidR="002626A7" w:rsidRPr="002626A7" w:rsidRDefault="002626A7" w:rsidP="002626A7">
            <w:pPr>
              <w:jc w:val="center"/>
            </w:pPr>
          </w:p>
        </w:tc>
        <w:tc>
          <w:tcPr>
            <w:tcW w:w="1134" w:type="dxa"/>
          </w:tcPr>
          <w:p w14:paraId="5083B649" w14:textId="77777777" w:rsidR="002626A7" w:rsidRPr="002626A7" w:rsidRDefault="002626A7" w:rsidP="002626A7">
            <w:pPr>
              <w:jc w:val="center"/>
            </w:pPr>
          </w:p>
        </w:tc>
      </w:tr>
      <w:tr w:rsidR="002626A7" w:rsidRPr="002626A7" w14:paraId="6F747181" w14:textId="77777777" w:rsidTr="005F0C1F">
        <w:trPr>
          <w:jc w:val="center"/>
        </w:trPr>
        <w:tc>
          <w:tcPr>
            <w:tcW w:w="421" w:type="dxa"/>
            <w:vAlign w:val="center"/>
          </w:tcPr>
          <w:p w14:paraId="3D0C5A5B" w14:textId="77777777" w:rsidR="002626A7" w:rsidRPr="002626A7" w:rsidRDefault="002626A7" w:rsidP="002626A7">
            <w:pPr>
              <w:jc w:val="center"/>
              <w:rPr>
                <w:b/>
                <w:bCs/>
              </w:rPr>
            </w:pPr>
            <w:r w:rsidRPr="002626A7">
              <w:rPr>
                <w:b/>
                <w:bCs/>
              </w:rPr>
              <w:t>2</w:t>
            </w:r>
          </w:p>
        </w:tc>
        <w:tc>
          <w:tcPr>
            <w:tcW w:w="3069" w:type="dxa"/>
          </w:tcPr>
          <w:p w14:paraId="1DF334AB" w14:textId="77777777" w:rsidR="002626A7" w:rsidRPr="002626A7" w:rsidRDefault="002626A7" w:rsidP="002626A7">
            <w:pPr>
              <w:jc w:val="center"/>
            </w:pPr>
            <w:r w:rsidRPr="002626A7">
              <w:t>Allocazione di parte delle proprie risorse a spese di codice 1</w:t>
            </w:r>
          </w:p>
          <w:p w14:paraId="16385545" w14:textId="77777777" w:rsidR="002626A7" w:rsidRPr="002626A7" w:rsidRDefault="002626A7" w:rsidP="002626A7">
            <w:pPr>
              <w:jc w:val="center"/>
            </w:pPr>
          </w:p>
        </w:tc>
        <w:tc>
          <w:tcPr>
            <w:tcW w:w="1467" w:type="dxa"/>
          </w:tcPr>
          <w:p w14:paraId="0A2C070B" w14:textId="79AF0E34" w:rsidR="002626A7" w:rsidRPr="002626A7" w:rsidRDefault="002626A7" w:rsidP="002626A7">
            <w:pPr>
              <w:jc w:val="center"/>
            </w:pPr>
            <w:r w:rsidRPr="002626A7">
              <w:t xml:space="preserve">Percentuale pari o superiore al </w:t>
            </w:r>
            <w:r w:rsidR="009664DC" w:rsidRPr="00BA6932">
              <w:t>20</w:t>
            </w:r>
            <w:r w:rsidRPr="00BA6932">
              <w:t>%</w:t>
            </w:r>
          </w:p>
        </w:tc>
        <w:tc>
          <w:tcPr>
            <w:tcW w:w="1417" w:type="dxa"/>
          </w:tcPr>
          <w:p w14:paraId="5616F5B4" w14:textId="77777777" w:rsidR="002626A7" w:rsidRPr="002626A7" w:rsidRDefault="002626A7" w:rsidP="002626A7">
            <w:pPr>
              <w:jc w:val="center"/>
            </w:pPr>
            <w:r w:rsidRPr="002626A7">
              <w:t>quantitativo</w:t>
            </w:r>
          </w:p>
        </w:tc>
        <w:tc>
          <w:tcPr>
            <w:tcW w:w="1559" w:type="dxa"/>
          </w:tcPr>
          <w:p w14:paraId="49DCE9E2" w14:textId="77777777" w:rsidR="002626A7" w:rsidRPr="002626A7" w:rsidRDefault="002626A7" w:rsidP="002626A7">
            <w:pPr>
              <w:jc w:val="center"/>
            </w:pPr>
            <w:r w:rsidRPr="002626A7">
              <w:t>Percentuale (%)</w:t>
            </w:r>
          </w:p>
        </w:tc>
        <w:tc>
          <w:tcPr>
            <w:tcW w:w="1276" w:type="dxa"/>
          </w:tcPr>
          <w:p w14:paraId="3B0567BB" w14:textId="77777777" w:rsidR="002626A7" w:rsidRPr="002626A7" w:rsidRDefault="002626A7" w:rsidP="002626A7">
            <w:pPr>
              <w:jc w:val="center"/>
            </w:pPr>
            <w:r w:rsidRPr="002626A7">
              <w:t>Interna / dato ente</w:t>
            </w:r>
          </w:p>
        </w:tc>
        <w:tc>
          <w:tcPr>
            <w:tcW w:w="851" w:type="dxa"/>
          </w:tcPr>
          <w:p w14:paraId="59694899" w14:textId="77777777" w:rsidR="002626A7" w:rsidRPr="002626A7" w:rsidRDefault="002626A7" w:rsidP="002626A7">
            <w:pPr>
              <w:jc w:val="center"/>
            </w:pPr>
          </w:p>
        </w:tc>
        <w:tc>
          <w:tcPr>
            <w:tcW w:w="1134" w:type="dxa"/>
          </w:tcPr>
          <w:p w14:paraId="3713035A" w14:textId="77777777" w:rsidR="002626A7" w:rsidRPr="002626A7" w:rsidRDefault="002626A7" w:rsidP="002626A7">
            <w:pPr>
              <w:jc w:val="center"/>
            </w:pPr>
          </w:p>
        </w:tc>
      </w:tr>
      <w:tr w:rsidR="002626A7" w:rsidRPr="002626A7" w14:paraId="45B67619" w14:textId="77777777" w:rsidTr="005F0C1F">
        <w:trPr>
          <w:jc w:val="center"/>
        </w:trPr>
        <w:tc>
          <w:tcPr>
            <w:tcW w:w="421" w:type="dxa"/>
            <w:vAlign w:val="center"/>
          </w:tcPr>
          <w:p w14:paraId="61334B96" w14:textId="77777777" w:rsidR="002626A7" w:rsidRPr="002626A7" w:rsidRDefault="002626A7" w:rsidP="002626A7">
            <w:pPr>
              <w:jc w:val="center"/>
              <w:rPr>
                <w:b/>
                <w:bCs/>
              </w:rPr>
            </w:pPr>
            <w:r w:rsidRPr="002626A7">
              <w:rPr>
                <w:b/>
                <w:bCs/>
              </w:rPr>
              <w:t>3</w:t>
            </w:r>
          </w:p>
        </w:tc>
        <w:tc>
          <w:tcPr>
            <w:tcW w:w="3069" w:type="dxa"/>
          </w:tcPr>
          <w:p w14:paraId="07E79EB9" w14:textId="77777777" w:rsidR="002626A7" w:rsidRPr="002626A7" w:rsidRDefault="002626A7" w:rsidP="002626A7">
            <w:pPr>
              <w:jc w:val="center"/>
            </w:pPr>
            <w:r w:rsidRPr="002626A7">
              <w:t>Allocazione di parte delle proprie risorse a spese di codice 2</w:t>
            </w:r>
          </w:p>
          <w:p w14:paraId="5BC0E1E4" w14:textId="77777777" w:rsidR="002626A7" w:rsidRPr="002626A7" w:rsidRDefault="002626A7" w:rsidP="002626A7">
            <w:pPr>
              <w:jc w:val="center"/>
            </w:pPr>
          </w:p>
        </w:tc>
        <w:tc>
          <w:tcPr>
            <w:tcW w:w="1467" w:type="dxa"/>
          </w:tcPr>
          <w:p w14:paraId="11A6DAFF" w14:textId="3A4DB0D3" w:rsidR="002626A7" w:rsidRPr="002626A7" w:rsidRDefault="002626A7" w:rsidP="002626A7">
            <w:pPr>
              <w:jc w:val="center"/>
            </w:pPr>
            <w:r w:rsidRPr="002626A7">
              <w:t xml:space="preserve">Percentuale pari o superiore al </w:t>
            </w:r>
            <w:r w:rsidR="002B005C" w:rsidRPr="00BA6932">
              <w:t>30</w:t>
            </w:r>
            <w:r w:rsidRPr="00BA6932">
              <w:t>%</w:t>
            </w:r>
          </w:p>
        </w:tc>
        <w:tc>
          <w:tcPr>
            <w:tcW w:w="1417" w:type="dxa"/>
          </w:tcPr>
          <w:p w14:paraId="492C2315" w14:textId="77777777" w:rsidR="002626A7" w:rsidRPr="002626A7" w:rsidRDefault="002626A7" w:rsidP="002626A7">
            <w:pPr>
              <w:jc w:val="center"/>
            </w:pPr>
            <w:r w:rsidRPr="002626A7">
              <w:t>quantitativo</w:t>
            </w:r>
          </w:p>
        </w:tc>
        <w:tc>
          <w:tcPr>
            <w:tcW w:w="1559" w:type="dxa"/>
          </w:tcPr>
          <w:p w14:paraId="3D4AAA2E" w14:textId="77777777" w:rsidR="002626A7" w:rsidRPr="002626A7" w:rsidRDefault="002626A7" w:rsidP="002626A7">
            <w:pPr>
              <w:jc w:val="center"/>
            </w:pPr>
            <w:r w:rsidRPr="002626A7">
              <w:t>Percentuale (%)</w:t>
            </w:r>
          </w:p>
        </w:tc>
        <w:tc>
          <w:tcPr>
            <w:tcW w:w="1276" w:type="dxa"/>
          </w:tcPr>
          <w:p w14:paraId="746F8079" w14:textId="77777777" w:rsidR="002626A7" w:rsidRPr="002626A7" w:rsidRDefault="002626A7" w:rsidP="002626A7">
            <w:pPr>
              <w:jc w:val="center"/>
            </w:pPr>
            <w:r w:rsidRPr="002626A7">
              <w:t>Interna / dato ente</w:t>
            </w:r>
          </w:p>
        </w:tc>
        <w:tc>
          <w:tcPr>
            <w:tcW w:w="851" w:type="dxa"/>
          </w:tcPr>
          <w:p w14:paraId="74A09305" w14:textId="77777777" w:rsidR="002626A7" w:rsidRPr="002626A7" w:rsidRDefault="002626A7" w:rsidP="002626A7">
            <w:pPr>
              <w:jc w:val="center"/>
            </w:pPr>
          </w:p>
        </w:tc>
        <w:tc>
          <w:tcPr>
            <w:tcW w:w="1134" w:type="dxa"/>
          </w:tcPr>
          <w:p w14:paraId="4F352AC4" w14:textId="77777777" w:rsidR="002626A7" w:rsidRPr="002626A7" w:rsidRDefault="002626A7" w:rsidP="002626A7">
            <w:pPr>
              <w:jc w:val="center"/>
            </w:pPr>
          </w:p>
        </w:tc>
      </w:tr>
      <w:tr w:rsidR="005F0C1F" w:rsidRPr="00974FE8" w14:paraId="07894E9B" w14:textId="77777777" w:rsidTr="005F0C1F">
        <w:trPr>
          <w:jc w:val="center"/>
        </w:trPr>
        <w:tc>
          <w:tcPr>
            <w:tcW w:w="421" w:type="dxa"/>
            <w:vAlign w:val="center"/>
          </w:tcPr>
          <w:p w14:paraId="3D33009E" w14:textId="51CFD2A6" w:rsidR="005F0C1F" w:rsidRPr="00974FE8" w:rsidRDefault="005F0C1F" w:rsidP="00930362">
            <w:pPr>
              <w:jc w:val="center"/>
              <w:rPr>
                <w:b/>
                <w:bCs/>
              </w:rPr>
            </w:pPr>
            <w:r>
              <w:rPr>
                <w:b/>
                <w:bCs/>
              </w:rPr>
              <w:t>4</w:t>
            </w:r>
          </w:p>
        </w:tc>
        <w:tc>
          <w:tcPr>
            <w:tcW w:w="3069" w:type="dxa"/>
          </w:tcPr>
          <w:p w14:paraId="68AB775A" w14:textId="77777777" w:rsidR="005F0C1F" w:rsidRPr="00974FE8" w:rsidRDefault="005F0C1F" w:rsidP="00930362">
            <w:pPr>
              <w:jc w:val="center"/>
            </w:pPr>
            <w:r>
              <w:t xml:space="preserve">% finanziamenti da parte della PA destinati ad attività di formazione per l’imprenditorialità femminile e le libere professioniste </w:t>
            </w:r>
            <w:r>
              <w:br/>
            </w:r>
          </w:p>
        </w:tc>
        <w:tc>
          <w:tcPr>
            <w:tcW w:w="1467" w:type="dxa"/>
          </w:tcPr>
          <w:p w14:paraId="150E9C41" w14:textId="77777777" w:rsidR="005F0C1F" w:rsidRPr="00974FE8" w:rsidRDefault="005F0C1F" w:rsidP="00930362">
            <w:pPr>
              <w:jc w:val="center"/>
            </w:pPr>
            <w:r>
              <w:t xml:space="preserve">Percentuale uguale o superiore al </w:t>
            </w:r>
            <w:r w:rsidRPr="0011139F">
              <w:t>40%</w:t>
            </w:r>
            <w:r>
              <w:t xml:space="preserve"> dei fondi per la formazione </w:t>
            </w:r>
          </w:p>
        </w:tc>
        <w:tc>
          <w:tcPr>
            <w:tcW w:w="1417" w:type="dxa"/>
          </w:tcPr>
          <w:p w14:paraId="6C8D13F2" w14:textId="77777777" w:rsidR="005F0C1F" w:rsidRPr="00974FE8" w:rsidRDefault="005F0C1F" w:rsidP="00930362">
            <w:pPr>
              <w:jc w:val="center"/>
            </w:pPr>
            <w:r w:rsidRPr="00974FE8">
              <w:t>quantitativo</w:t>
            </w:r>
          </w:p>
        </w:tc>
        <w:tc>
          <w:tcPr>
            <w:tcW w:w="1559" w:type="dxa"/>
          </w:tcPr>
          <w:p w14:paraId="7B431CCD" w14:textId="77777777" w:rsidR="005F0C1F" w:rsidRPr="00974FE8" w:rsidRDefault="005F0C1F" w:rsidP="00930362">
            <w:pPr>
              <w:jc w:val="center"/>
            </w:pPr>
            <w:r w:rsidRPr="00974FE8">
              <w:t>Percentuale (%)</w:t>
            </w:r>
          </w:p>
        </w:tc>
        <w:tc>
          <w:tcPr>
            <w:tcW w:w="1276" w:type="dxa"/>
          </w:tcPr>
          <w:p w14:paraId="58B4E845" w14:textId="77777777" w:rsidR="005F0C1F" w:rsidRPr="00974FE8" w:rsidRDefault="005F0C1F" w:rsidP="00930362">
            <w:pPr>
              <w:jc w:val="center"/>
            </w:pPr>
            <w:r w:rsidRPr="00974FE8">
              <w:t>Interna / dato aziendale</w:t>
            </w:r>
          </w:p>
        </w:tc>
        <w:tc>
          <w:tcPr>
            <w:tcW w:w="851" w:type="dxa"/>
          </w:tcPr>
          <w:p w14:paraId="2F3F8C63" w14:textId="77777777" w:rsidR="005F0C1F" w:rsidRPr="00974FE8" w:rsidRDefault="005F0C1F" w:rsidP="00930362">
            <w:pPr>
              <w:jc w:val="center"/>
            </w:pPr>
          </w:p>
        </w:tc>
        <w:tc>
          <w:tcPr>
            <w:tcW w:w="1134" w:type="dxa"/>
          </w:tcPr>
          <w:p w14:paraId="33F98C54" w14:textId="77777777" w:rsidR="005F0C1F" w:rsidRPr="00974FE8" w:rsidRDefault="005F0C1F" w:rsidP="00930362">
            <w:pPr>
              <w:jc w:val="center"/>
            </w:pPr>
          </w:p>
        </w:tc>
      </w:tr>
    </w:tbl>
    <w:p w14:paraId="17EADF8E" w14:textId="664E084B" w:rsidR="00CC383C" w:rsidRDefault="00CC383C" w:rsidP="0047642B">
      <w:pPr>
        <w:jc w:val="center"/>
      </w:pPr>
    </w:p>
    <w:p w14:paraId="5AA10B86" w14:textId="77777777" w:rsidR="00CC383C" w:rsidRDefault="00CC383C">
      <w:pPr>
        <w:spacing w:line="240" w:lineRule="auto"/>
        <w:jc w:val="left"/>
      </w:pPr>
      <w:r>
        <w:br w:type="page"/>
      </w:r>
    </w:p>
    <w:p w14:paraId="007D69BC" w14:textId="77777777" w:rsidR="002626A7" w:rsidRDefault="002626A7" w:rsidP="0047642B">
      <w:pPr>
        <w:jc w:val="center"/>
      </w:pPr>
    </w:p>
    <w:p w14:paraId="57F9C6D1" w14:textId="77CE67B7" w:rsidR="00F271C8" w:rsidRPr="00F271C8" w:rsidRDefault="006E0844" w:rsidP="00CC383C">
      <w:pPr>
        <w:jc w:val="center"/>
      </w:pPr>
      <w:bookmarkStart w:id="47" w:name="_Hlk193963842"/>
      <w:r w:rsidRPr="006E0844">
        <w:t xml:space="preserve">Prospetto </w:t>
      </w:r>
      <w:r>
        <w:t>6</w:t>
      </w:r>
      <w:r w:rsidRPr="006E0844">
        <w:t xml:space="preserve"> – Area </w:t>
      </w:r>
      <w:r>
        <w:t>B</w:t>
      </w:r>
      <w:r w:rsidRPr="006E0844">
        <w:t xml:space="preserve">: </w:t>
      </w:r>
      <w:r w:rsidR="00A049D1">
        <w:t>A</w:t>
      </w:r>
      <w:r w:rsidR="00A049D1" w:rsidRPr="00A049D1">
        <w:t>ffidamento a imprese esecutrici</w:t>
      </w:r>
    </w:p>
    <w:bookmarkEnd w:id="47"/>
    <w:p w14:paraId="0B714F6F" w14:textId="6F43F6A8" w:rsidR="00CC383C" w:rsidRPr="003128ED" w:rsidRDefault="00CC383C">
      <w:pPr>
        <w:spacing w:line="240" w:lineRule="auto"/>
        <w:jc w:val="left"/>
      </w:pPr>
    </w:p>
    <w:tbl>
      <w:tblPr>
        <w:tblStyle w:val="Grigliatabella"/>
        <w:tblW w:w="11052" w:type="dxa"/>
        <w:jc w:val="center"/>
        <w:tblLayout w:type="fixed"/>
        <w:tblLook w:val="04A0" w:firstRow="1" w:lastRow="0" w:firstColumn="1" w:lastColumn="0" w:noHBand="0" w:noVBand="1"/>
      </w:tblPr>
      <w:tblGrid>
        <w:gridCol w:w="562"/>
        <w:gridCol w:w="2928"/>
        <w:gridCol w:w="1467"/>
        <w:gridCol w:w="1417"/>
        <w:gridCol w:w="1559"/>
        <w:gridCol w:w="1701"/>
        <w:gridCol w:w="567"/>
        <w:gridCol w:w="851"/>
      </w:tblGrid>
      <w:tr w:rsidR="00146972" w:rsidRPr="00CC383C" w14:paraId="00C95D1E" w14:textId="77777777" w:rsidTr="00B627ED">
        <w:trPr>
          <w:jc w:val="center"/>
        </w:trPr>
        <w:tc>
          <w:tcPr>
            <w:tcW w:w="562" w:type="dxa"/>
            <w:vAlign w:val="center"/>
          </w:tcPr>
          <w:p w14:paraId="1500FC4A" w14:textId="77777777" w:rsidR="00CC383C" w:rsidRPr="00CC383C" w:rsidRDefault="00CC383C" w:rsidP="00CC383C">
            <w:pPr>
              <w:spacing w:line="240" w:lineRule="auto"/>
              <w:jc w:val="left"/>
              <w:rPr>
                <w:b/>
                <w:bCs/>
              </w:rPr>
            </w:pPr>
          </w:p>
        </w:tc>
        <w:tc>
          <w:tcPr>
            <w:tcW w:w="2928" w:type="dxa"/>
            <w:vAlign w:val="center"/>
          </w:tcPr>
          <w:p w14:paraId="61DB67BD" w14:textId="77777777" w:rsidR="00CC383C" w:rsidRPr="00CC383C" w:rsidRDefault="00CC383C" w:rsidP="00CC383C">
            <w:pPr>
              <w:spacing w:line="240" w:lineRule="auto"/>
              <w:jc w:val="left"/>
              <w:rPr>
                <w:b/>
                <w:bCs/>
              </w:rPr>
            </w:pPr>
            <w:r w:rsidRPr="00CC383C">
              <w:rPr>
                <w:b/>
                <w:bCs/>
              </w:rPr>
              <w:t>Proposte tematiche</w:t>
            </w:r>
          </w:p>
        </w:tc>
        <w:tc>
          <w:tcPr>
            <w:tcW w:w="1467" w:type="dxa"/>
            <w:vAlign w:val="center"/>
          </w:tcPr>
          <w:p w14:paraId="3927BB17" w14:textId="77777777" w:rsidR="00CC383C" w:rsidRPr="00CC383C" w:rsidRDefault="00CC383C" w:rsidP="00CC383C">
            <w:pPr>
              <w:spacing w:line="240" w:lineRule="auto"/>
              <w:jc w:val="left"/>
              <w:rPr>
                <w:b/>
                <w:bCs/>
              </w:rPr>
            </w:pPr>
            <w:r w:rsidRPr="00CC383C">
              <w:rPr>
                <w:b/>
                <w:bCs/>
              </w:rPr>
              <w:t>Indicatore</w:t>
            </w:r>
          </w:p>
        </w:tc>
        <w:tc>
          <w:tcPr>
            <w:tcW w:w="1417" w:type="dxa"/>
            <w:vAlign w:val="center"/>
          </w:tcPr>
          <w:p w14:paraId="44413DBE" w14:textId="77777777" w:rsidR="00CC383C" w:rsidRPr="00CC383C" w:rsidRDefault="00CC383C" w:rsidP="00CC383C">
            <w:pPr>
              <w:spacing w:line="240" w:lineRule="auto"/>
              <w:jc w:val="left"/>
              <w:rPr>
                <w:b/>
                <w:bCs/>
              </w:rPr>
            </w:pPr>
            <w:r w:rsidRPr="00CC383C">
              <w:rPr>
                <w:b/>
                <w:bCs/>
              </w:rPr>
              <w:t>Tipologia indicatore</w:t>
            </w:r>
          </w:p>
        </w:tc>
        <w:tc>
          <w:tcPr>
            <w:tcW w:w="1559" w:type="dxa"/>
            <w:vAlign w:val="center"/>
          </w:tcPr>
          <w:p w14:paraId="15EA7A71" w14:textId="77777777" w:rsidR="00CC383C" w:rsidRPr="00CC383C" w:rsidRDefault="00CC383C" w:rsidP="00CC383C">
            <w:pPr>
              <w:spacing w:line="240" w:lineRule="auto"/>
              <w:jc w:val="left"/>
              <w:rPr>
                <w:b/>
                <w:bCs/>
              </w:rPr>
            </w:pPr>
            <w:r w:rsidRPr="00CC383C">
              <w:rPr>
                <w:b/>
                <w:bCs/>
              </w:rPr>
              <w:t>Modalità misurazione</w:t>
            </w:r>
          </w:p>
        </w:tc>
        <w:tc>
          <w:tcPr>
            <w:tcW w:w="1701" w:type="dxa"/>
            <w:vAlign w:val="center"/>
          </w:tcPr>
          <w:p w14:paraId="5F68016A" w14:textId="77777777" w:rsidR="00CC383C" w:rsidRPr="00CC383C" w:rsidRDefault="00CC383C" w:rsidP="00CC383C">
            <w:pPr>
              <w:spacing w:line="240" w:lineRule="auto"/>
              <w:jc w:val="left"/>
              <w:rPr>
                <w:b/>
                <w:bCs/>
              </w:rPr>
            </w:pPr>
            <w:r w:rsidRPr="00CC383C">
              <w:rPr>
                <w:b/>
                <w:bCs/>
              </w:rPr>
              <w:t>fonte</w:t>
            </w:r>
          </w:p>
        </w:tc>
        <w:tc>
          <w:tcPr>
            <w:tcW w:w="567" w:type="dxa"/>
            <w:vAlign w:val="center"/>
          </w:tcPr>
          <w:p w14:paraId="340B1A79" w14:textId="77777777" w:rsidR="00CC383C" w:rsidRPr="00CC383C" w:rsidRDefault="00CC383C" w:rsidP="00CC383C">
            <w:pPr>
              <w:spacing w:line="240" w:lineRule="auto"/>
              <w:jc w:val="left"/>
              <w:rPr>
                <w:b/>
                <w:bCs/>
              </w:rPr>
            </w:pPr>
            <w:r w:rsidRPr="00CC383C">
              <w:rPr>
                <w:b/>
                <w:bCs/>
              </w:rPr>
              <w:t>punti</w:t>
            </w:r>
          </w:p>
        </w:tc>
        <w:tc>
          <w:tcPr>
            <w:tcW w:w="851" w:type="dxa"/>
            <w:vAlign w:val="center"/>
          </w:tcPr>
          <w:p w14:paraId="29035B11" w14:textId="77777777" w:rsidR="00CC383C" w:rsidRPr="00CC383C" w:rsidRDefault="00CC383C" w:rsidP="00CC383C">
            <w:pPr>
              <w:spacing w:line="240" w:lineRule="auto"/>
              <w:jc w:val="left"/>
              <w:rPr>
                <w:b/>
                <w:bCs/>
              </w:rPr>
            </w:pPr>
            <w:r w:rsidRPr="00CC383C">
              <w:rPr>
                <w:b/>
                <w:bCs/>
              </w:rPr>
              <w:t>note</w:t>
            </w:r>
          </w:p>
        </w:tc>
      </w:tr>
      <w:tr w:rsidR="00CC383C" w:rsidRPr="00CC383C" w14:paraId="431985C1" w14:textId="77777777" w:rsidTr="00B627ED">
        <w:trPr>
          <w:jc w:val="center"/>
        </w:trPr>
        <w:tc>
          <w:tcPr>
            <w:tcW w:w="562" w:type="dxa"/>
            <w:vAlign w:val="center"/>
          </w:tcPr>
          <w:p w14:paraId="4805F561" w14:textId="77777777" w:rsidR="00CC383C" w:rsidRPr="00CC383C" w:rsidRDefault="00CC383C" w:rsidP="00CC383C">
            <w:pPr>
              <w:spacing w:line="240" w:lineRule="auto"/>
              <w:jc w:val="left"/>
              <w:rPr>
                <w:b/>
                <w:bCs/>
              </w:rPr>
            </w:pPr>
            <w:r w:rsidRPr="00CC383C">
              <w:rPr>
                <w:b/>
                <w:bCs/>
              </w:rPr>
              <w:t>1</w:t>
            </w:r>
          </w:p>
        </w:tc>
        <w:tc>
          <w:tcPr>
            <w:tcW w:w="2928" w:type="dxa"/>
          </w:tcPr>
          <w:p w14:paraId="27A36DE5" w14:textId="77777777" w:rsidR="00CC383C" w:rsidRPr="00CC383C" w:rsidRDefault="00CC383C" w:rsidP="00CC383C">
            <w:pPr>
              <w:spacing w:line="240" w:lineRule="auto"/>
              <w:jc w:val="left"/>
              <w:rPr>
                <w:b/>
                <w:bCs/>
              </w:rPr>
            </w:pPr>
            <w:r w:rsidRPr="00CC383C">
              <w:t>Affidamento a imprese che possono contare una % di dipendenti donne</w:t>
            </w:r>
            <w:r w:rsidRPr="00CC383C">
              <w:rPr>
                <w:bCs/>
              </w:rPr>
              <w:t xml:space="preserve"> </w:t>
            </w:r>
            <w:r w:rsidRPr="00CC383C">
              <w:t xml:space="preserve">occupate nella fascia </w:t>
            </w:r>
            <w:r w:rsidRPr="00CC383C">
              <w:rPr>
                <w:bCs/>
              </w:rPr>
              <w:t>25-49 anni</w:t>
            </w:r>
          </w:p>
        </w:tc>
        <w:tc>
          <w:tcPr>
            <w:tcW w:w="1467" w:type="dxa"/>
          </w:tcPr>
          <w:p w14:paraId="43BBBF76" w14:textId="77777777" w:rsidR="00CC383C" w:rsidRPr="00CC383C" w:rsidRDefault="00CC383C" w:rsidP="00CC383C">
            <w:pPr>
              <w:spacing w:line="240" w:lineRule="auto"/>
              <w:jc w:val="left"/>
            </w:pPr>
            <w:r w:rsidRPr="00CC383C">
              <w:t xml:space="preserve">Percentuale pari o superiore al </w:t>
            </w:r>
            <w:r w:rsidRPr="00894A23">
              <w:t>40%</w:t>
            </w:r>
            <w:r w:rsidRPr="00CC383C">
              <w:t xml:space="preserve"> o comunque tendente alla parità</w:t>
            </w:r>
          </w:p>
          <w:p w14:paraId="14ACE078" w14:textId="77777777" w:rsidR="00CC383C" w:rsidRPr="00CC383C" w:rsidRDefault="00CC383C" w:rsidP="00CC383C">
            <w:pPr>
              <w:spacing w:line="240" w:lineRule="auto"/>
              <w:jc w:val="left"/>
            </w:pPr>
          </w:p>
        </w:tc>
        <w:tc>
          <w:tcPr>
            <w:tcW w:w="1417" w:type="dxa"/>
          </w:tcPr>
          <w:p w14:paraId="472C23D3" w14:textId="77777777" w:rsidR="00CC383C" w:rsidRPr="00CC383C" w:rsidRDefault="00CC383C" w:rsidP="00CC383C">
            <w:pPr>
              <w:spacing w:line="240" w:lineRule="auto"/>
              <w:jc w:val="left"/>
            </w:pPr>
            <w:r w:rsidRPr="00CC383C">
              <w:t>quantitativo</w:t>
            </w:r>
          </w:p>
        </w:tc>
        <w:tc>
          <w:tcPr>
            <w:tcW w:w="1559" w:type="dxa"/>
          </w:tcPr>
          <w:p w14:paraId="03673364" w14:textId="77777777" w:rsidR="00CC383C" w:rsidRPr="00CC383C" w:rsidRDefault="00CC383C" w:rsidP="00CC383C">
            <w:pPr>
              <w:spacing w:line="240" w:lineRule="auto"/>
              <w:jc w:val="left"/>
            </w:pPr>
            <w:r w:rsidRPr="00CC383C">
              <w:t>Percentuale (%)</w:t>
            </w:r>
          </w:p>
        </w:tc>
        <w:tc>
          <w:tcPr>
            <w:tcW w:w="1701" w:type="dxa"/>
          </w:tcPr>
          <w:p w14:paraId="292B3FB9" w14:textId="77777777" w:rsidR="00CC383C" w:rsidRPr="00CC383C" w:rsidRDefault="00CC383C" w:rsidP="00CC383C">
            <w:pPr>
              <w:spacing w:line="240" w:lineRule="auto"/>
              <w:jc w:val="left"/>
            </w:pPr>
            <w:r w:rsidRPr="00CC383C">
              <w:t xml:space="preserve">Interna / dato aziendale </w:t>
            </w:r>
          </w:p>
        </w:tc>
        <w:tc>
          <w:tcPr>
            <w:tcW w:w="567" w:type="dxa"/>
          </w:tcPr>
          <w:p w14:paraId="7B385F1D" w14:textId="77777777" w:rsidR="00CC383C" w:rsidRPr="00CC383C" w:rsidRDefault="00CC383C" w:rsidP="00CC383C">
            <w:pPr>
              <w:spacing w:line="240" w:lineRule="auto"/>
              <w:jc w:val="left"/>
            </w:pPr>
          </w:p>
        </w:tc>
        <w:tc>
          <w:tcPr>
            <w:tcW w:w="851" w:type="dxa"/>
          </w:tcPr>
          <w:p w14:paraId="3CA5E39B" w14:textId="77777777" w:rsidR="00CC383C" w:rsidRPr="00CC383C" w:rsidRDefault="00CC383C" w:rsidP="00CC383C">
            <w:pPr>
              <w:spacing w:line="240" w:lineRule="auto"/>
              <w:jc w:val="left"/>
            </w:pPr>
          </w:p>
        </w:tc>
      </w:tr>
      <w:tr w:rsidR="00CC383C" w:rsidRPr="00CC383C" w14:paraId="53865400" w14:textId="77777777" w:rsidTr="00B627ED">
        <w:trPr>
          <w:jc w:val="center"/>
        </w:trPr>
        <w:tc>
          <w:tcPr>
            <w:tcW w:w="562" w:type="dxa"/>
            <w:vAlign w:val="center"/>
          </w:tcPr>
          <w:p w14:paraId="452D0BCA" w14:textId="77777777" w:rsidR="00CC383C" w:rsidRPr="00CC383C" w:rsidRDefault="00CC383C" w:rsidP="00CC383C">
            <w:pPr>
              <w:spacing w:line="240" w:lineRule="auto"/>
              <w:jc w:val="left"/>
              <w:rPr>
                <w:b/>
                <w:bCs/>
              </w:rPr>
            </w:pPr>
            <w:r w:rsidRPr="00CC383C">
              <w:rPr>
                <w:b/>
                <w:bCs/>
              </w:rPr>
              <w:t>2</w:t>
            </w:r>
          </w:p>
        </w:tc>
        <w:tc>
          <w:tcPr>
            <w:tcW w:w="2928" w:type="dxa"/>
          </w:tcPr>
          <w:p w14:paraId="6C2A1394" w14:textId="77777777" w:rsidR="00CC383C" w:rsidRPr="00CC383C" w:rsidRDefault="00CC383C" w:rsidP="00CC383C">
            <w:pPr>
              <w:spacing w:line="240" w:lineRule="auto"/>
              <w:jc w:val="left"/>
              <w:rPr>
                <w:b/>
                <w:bCs/>
              </w:rPr>
            </w:pPr>
            <w:r w:rsidRPr="00CC383C">
              <w:t xml:space="preserve">Affidamento a imprese che possono contare una % di dipendenti donne in posizione di responsabilità/dirigenziale/manageriale </w:t>
            </w:r>
          </w:p>
        </w:tc>
        <w:tc>
          <w:tcPr>
            <w:tcW w:w="1467" w:type="dxa"/>
          </w:tcPr>
          <w:p w14:paraId="253E14BF" w14:textId="77777777" w:rsidR="00CC383C" w:rsidRPr="00CC383C" w:rsidRDefault="00CC383C" w:rsidP="00CC383C">
            <w:pPr>
              <w:spacing w:line="240" w:lineRule="auto"/>
              <w:jc w:val="left"/>
            </w:pPr>
            <w:r w:rsidRPr="00CC383C">
              <w:t xml:space="preserve">Percentuale pari o superiore al </w:t>
            </w:r>
            <w:r w:rsidRPr="00894A23">
              <w:t>30%</w:t>
            </w:r>
            <w:r w:rsidRPr="00CC383C">
              <w:t xml:space="preserve"> o comunque tendente alla parità</w:t>
            </w:r>
          </w:p>
        </w:tc>
        <w:tc>
          <w:tcPr>
            <w:tcW w:w="1417" w:type="dxa"/>
          </w:tcPr>
          <w:p w14:paraId="59AEA027" w14:textId="77777777" w:rsidR="00CC383C" w:rsidRPr="00CC383C" w:rsidRDefault="00CC383C" w:rsidP="00CC383C">
            <w:pPr>
              <w:spacing w:line="240" w:lineRule="auto"/>
              <w:jc w:val="left"/>
            </w:pPr>
            <w:r w:rsidRPr="00CC383C">
              <w:t>quantitativo</w:t>
            </w:r>
          </w:p>
        </w:tc>
        <w:tc>
          <w:tcPr>
            <w:tcW w:w="1559" w:type="dxa"/>
          </w:tcPr>
          <w:p w14:paraId="1B42DDEC" w14:textId="77777777" w:rsidR="00CC383C" w:rsidRPr="00CC383C" w:rsidRDefault="00CC383C" w:rsidP="00CC383C">
            <w:pPr>
              <w:spacing w:line="240" w:lineRule="auto"/>
              <w:jc w:val="left"/>
            </w:pPr>
            <w:r w:rsidRPr="00CC383C">
              <w:t>Percentuale (%)</w:t>
            </w:r>
          </w:p>
        </w:tc>
        <w:tc>
          <w:tcPr>
            <w:tcW w:w="1701" w:type="dxa"/>
          </w:tcPr>
          <w:p w14:paraId="6F4873D5" w14:textId="77777777" w:rsidR="00CC383C" w:rsidRPr="00CC383C" w:rsidRDefault="00CC383C" w:rsidP="00CC383C">
            <w:pPr>
              <w:spacing w:line="240" w:lineRule="auto"/>
              <w:jc w:val="left"/>
            </w:pPr>
            <w:r w:rsidRPr="00CC383C">
              <w:t>Interna / dato aziendale</w:t>
            </w:r>
          </w:p>
        </w:tc>
        <w:tc>
          <w:tcPr>
            <w:tcW w:w="567" w:type="dxa"/>
          </w:tcPr>
          <w:p w14:paraId="4990AF0F" w14:textId="77777777" w:rsidR="00CC383C" w:rsidRPr="00CC383C" w:rsidRDefault="00CC383C" w:rsidP="00CC383C">
            <w:pPr>
              <w:spacing w:line="240" w:lineRule="auto"/>
              <w:jc w:val="left"/>
            </w:pPr>
          </w:p>
        </w:tc>
        <w:tc>
          <w:tcPr>
            <w:tcW w:w="851" w:type="dxa"/>
          </w:tcPr>
          <w:p w14:paraId="4E98B5E1" w14:textId="77777777" w:rsidR="00CC383C" w:rsidRPr="00CC383C" w:rsidRDefault="00CC383C" w:rsidP="00CC383C">
            <w:pPr>
              <w:spacing w:line="240" w:lineRule="auto"/>
              <w:jc w:val="left"/>
            </w:pPr>
          </w:p>
        </w:tc>
      </w:tr>
      <w:tr w:rsidR="00CC383C" w:rsidRPr="00CC383C" w14:paraId="4A13AA8C" w14:textId="77777777" w:rsidTr="00B627ED">
        <w:trPr>
          <w:jc w:val="center"/>
        </w:trPr>
        <w:tc>
          <w:tcPr>
            <w:tcW w:w="562" w:type="dxa"/>
            <w:vAlign w:val="center"/>
          </w:tcPr>
          <w:p w14:paraId="635166FA" w14:textId="77777777" w:rsidR="00CC383C" w:rsidRPr="00CC383C" w:rsidRDefault="00CC383C" w:rsidP="00CC383C">
            <w:pPr>
              <w:spacing w:line="240" w:lineRule="auto"/>
              <w:jc w:val="left"/>
              <w:rPr>
                <w:b/>
                <w:bCs/>
              </w:rPr>
            </w:pPr>
            <w:r w:rsidRPr="00CC383C">
              <w:rPr>
                <w:b/>
                <w:bCs/>
              </w:rPr>
              <w:t>3</w:t>
            </w:r>
          </w:p>
        </w:tc>
        <w:tc>
          <w:tcPr>
            <w:tcW w:w="2928" w:type="dxa"/>
          </w:tcPr>
          <w:p w14:paraId="63944AA9" w14:textId="41EECA63" w:rsidR="00DF25A9" w:rsidRDefault="099806E9" w:rsidP="099806E9">
            <w:pPr>
              <w:spacing w:line="240" w:lineRule="auto"/>
              <w:jc w:val="left"/>
            </w:pPr>
            <w:r>
              <w:t>Affidamento a imprese che assumono donne disoccupate e vittime di violenza</w:t>
            </w:r>
            <w:r w:rsidR="00CC383C" w:rsidRPr="099806E9">
              <w:rPr>
                <w:rStyle w:val="Rimandonotaapidipagina"/>
              </w:rPr>
              <w:footnoteReference w:id="31"/>
            </w:r>
            <w:r>
              <w:t xml:space="preserve"> e assunzione di lavoratrici "svantaggiate"</w:t>
            </w:r>
            <w:r w:rsidR="00BD2291">
              <w:rPr>
                <w:rStyle w:val="Rimandonotaapidipagina"/>
              </w:rPr>
              <w:footnoteReference w:id="32"/>
            </w:r>
            <w:r>
              <w:t xml:space="preserve"> identificate come</w:t>
            </w:r>
            <w:r w:rsidR="003F0540">
              <w:t>:</w:t>
            </w:r>
          </w:p>
          <w:p w14:paraId="2EE1C0FD" w14:textId="77777777" w:rsidR="00DF25A9" w:rsidRPr="00A84365" w:rsidRDefault="099806E9" w:rsidP="00A84365">
            <w:pPr>
              <w:pStyle w:val="Paragrafoelenco"/>
              <w:numPr>
                <w:ilvl w:val="0"/>
                <w:numId w:val="30"/>
              </w:numPr>
              <w:spacing w:line="240" w:lineRule="auto"/>
              <w:ind w:left="318"/>
              <w:jc w:val="left"/>
              <w:rPr>
                <w:b w:val="0"/>
                <w:sz w:val="16"/>
                <w:szCs w:val="16"/>
              </w:rPr>
            </w:pPr>
            <w:r w:rsidRPr="00A84365">
              <w:rPr>
                <w:b w:val="0"/>
                <w:sz w:val="16"/>
                <w:szCs w:val="16"/>
              </w:rPr>
              <w:t xml:space="preserve">donne con almeno 50 anni e disoccupate da oltre 12 mesi; </w:t>
            </w:r>
          </w:p>
          <w:p w14:paraId="1690677D" w14:textId="67F9405B" w:rsidR="00DF25A9" w:rsidRPr="00A84365" w:rsidRDefault="099806E9" w:rsidP="00F84EF6">
            <w:pPr>
              <w:pStyle w:val="Paragrafoelenco"/>
              <w:numPr>
                <w:ilvl w:val="0"/>
                <w:numId w:val="30"/>
              </w:numPr>
              <w:spacing w:line="240" w:lineRule="auto"/>
              <w:ind w:left="318"/>
              <w:jc w:val="left"/>
              <w:rPr>
                <w:b w:val="0"/>
                <w:sz w:val="16"/>
                <w:szCs w:val="16"/>
              </w:rPr>
            </w:pPr>
            <w:r w:rsidRPr="00A84365">
              <w:rPr>
                <w:b w:val="0"/>
                <w:sz w:val="16"/>
                <w:szCs w:val="16"/>
              </w:rPr>
              <w:t>donne di qualsiasi età</w:t>
            </w:r>
            <w:r w:rsidR="00A84365" w:rsidRPr="00A84365">
              <w:rPr>
                <w:b w:val="0"/>
                <w:sz w:val="16"/>
                <w:szCs w:val="16"/>
              </w:rPr>
              <w:t xml:space="preserve"> </w:t>
            </w:r>
            <w:r w:rsidRPr="00A84365">
              <w:rPr>
                <w:b w:val="0"/>
                <w:sz w:val="16"/>
                <w:szCs w:val="16"/>
              </w:rPr>
              <w:t xml:space="preserve">residenti in regioni ammissibili ai finanziamenti nell’ambito dei fondi strutturali dell’Unione europea, </w:t>
            </w:r>
          </w:p>
          <w:p w14:paraId="4D28A1D3" w14:textId="77777777" w:rsidR="00DF25A9" w:rsidRPr="00A84365" w:rsidRDefault="099806E9" w:rsidP="00A84365">
            <w:pPr>
              <w:pStyle w:val="Paragrafoelenco"/>
              <w:numPr>
                <w:ilvl w:val="0"/>
                <w:numId w:val="30"/>
              </w:numPr>
              <w:spacing w:line="240" w:lineRule="auto"/>
              <w:ind w:left="318"/>
              <w:jc w:val="left"/>
              <w:rPr>
                <w:b w:val="0"/>
                <w:sz w:val="16"/>
                <w:szCs w:val="16"/>
              </w:rPr>
            </w:pPr>
            <w:r w:rsidRPr="00A84365">
              <w:rPr>
                <w:b w:val="0"/>
                <w:sz w:val="16"/>
                <w:szCs w:val="16"/>
              </w:rPr>
              <w:t xml:space="preserve">prive di un impiego regolarmente retribuito da almeno 6 mesi; </w:t>
            </w:r>
          </w:p>
          <w:p w14:paraId="220F6B2A" w14:textId="77777777" w:rsidR="007F3D77" w:rsidRPr="00A84365" w:rsidRDefault="099806E9" w:rsidP="00A84365">
            <w:pPr>
              <w:pStyle w:val="Paragrafoelenco"/>
              <w:numPr>
                <w:ilvl w:val="0"/>
                <w:numId w:val="30"/>
              </w:numPr>
              <w:spacing w:line="240" w:lineRule="auto"/>
              <w:ind w:left="318"/>
              <w:jc w:val="left"/>
              <w:rPr>
                <w:b w:val="0"/>
              </w:rPr>
            </w:pPr>
            <w:r w:rsidRPr="00A84365">
              <w:rPr>
                <w:b w:val="0"/>
                <w:sz w:val="16"/>
                <w:szCs w:val="16"/>
              </w:rPr>
              <w:lastRenderedPageBreak/>
              <w:t xml:space="preserve">donne di qualsiasi età che svolgono professioni o attività lavorative in settori economici caratterizzati da un’accentuata disparità occupazionale di genere e prive di un impiego regolarmente retribuito da almeno 6 mesi; </w:t>
            </w:r>
          </w:p>
          <w:p w14:paraId="26F66C58" w14:textId="378C7273" w:rsidR="00CC383C" w:rsidRPr="00CC383C" w:rsidRDefault="099806E9" w:rsidP="00A84365">
            <w:pPr>
              <w:pStyle w:val="Paragrafoelenco"/>
              <w:numPr>
                <w:ilvl w:val="0"/>
                <w:numId w:val="30"/>
              </w:numPr>
              <w:spacing w:line="240" w:lineRule="auto"/>
              <w:ind w:left="318"/>
              <w:jc w:val="left"/>
            </w:pPr>
            <w:r w:rsidRPr="00A84365">
              <w:rPr>
                <w:b w:val="0"/>
                <w:sz w:val="16"/>
                <w:szCs w:val="16"/>
              </w:rPr>
              <w:t xml:space="preserve">donne di qualsiasi età, ovunque residenti, prive di un impiego regolarmente retribuito da almeno 24 mesi. </w:t>
            </w:r>
          </w:p>
        </w:tc>
        <w:tc>
          <w:tcPr>
            <w:tcW w:w="1467" w:type="dxa"/>
          </w:tcPr>
          <w:p w14:paraId="56A74189" w14:textId="77777777" w:rsidR="00CC383C" w:rsidRPr="00CC383C" w:rsidRDefault="00CC383C" w:rsidP="00CC383C">
            <w:pPr>
              <w:spacing w:line="240" w:lineRule="auto"/>
              <w:jc w:val="left"/>
            </w:pPr>
          </w:p>
        </w:tc>
        <w:tc>
          <w:tcPr>
            <w:tcW w:w="1417" w:type="dxa"/>
          </w:tcPr>
          <w:p w14:paraId="698A0F3E" w14:textId="77777777" w:rsidR="00CC383C" w:rsidRPr="00CC383C" w:rsidRDefault="00CC383C" w:rsidP="00CC383C">
            <w:pPr>
              <w:spacing w:line="240" w:lineRule="auto"/>
              <w:jc w:val="left"/>
            </w:pPr>
            <w:r w:rsidRPr="00CC383C">
              <w:t>qualitativo</w:t>
            </w:r>
          </w:p>
        </w:tc>
        <w:tc>
          <w:tcPr>
            <w:tcW w:w="1559" w:type="dxa"/>
          </w:tcPr>
          <w:p w14:paraId="70779BA1" w14:textId="77777777" w:rsidR="00CC383C" w:rsidRPr="00CC383C" w:rsidRDefault="00CC383C" w:rsidP="00CC383C">
            <w:pPr>
              <w:spacing w:line="240" w:lineRule="auto"/>
              <w:jc w:val="left"/>
            </w:pPr>
            <w:r w:rsidRPr="00CC383C">
              <w:t>Si/No</w:t>
            </w:r>
          </w:p>
        </w:tc>
        <w:tc>
          <w:tcPr>
            <w:tcW w:w="1701" w:type="dxa"/>
          </w:tcPr>
          <w:p w14:paraId="379A7516" w14:textId="77777777" w:rsidR="00CC383C" w:rsidRPr="00CC383C" w:rsidRDefault="00CC383C" w:rsidP="00CC383C">
            <w:pPr>
              <w:spacing w:line="240" w:lineRule="auto"/>
              <w:jc w:val="left"/>
            </w:pPr>
            <w:r w:rsidRPr="00CC383C">
              <w:t>Interna / dato aziendale</w:t>
            </w:r>
          </w:p>
        </w:tc>
        <w:tc>
          <w:tcPr>
            <w:tcW w:w="567" w:type="dxa"/>
          </w:tcPr>
          <w:p w14:paraId="3B8AA1BD" w14:textId="77777777" w:rsidR="00CC383C" w:rsidRPr="00CC383C" w:rsidRDefault="00CC383C" w:rsidP="00CC383C">
            <w:pPr>
              <w:spacing w:line="240" w:lineRule="auto"/>
              <w:jc w:val="left"/>
            </w:pPr>
          </w:p>
        </w:tc>
        <w:tc>
          <w:tcPr>
            <w:tcW w:w="851" w:type="dxa"/>
          </w:tcPr>
          <w:p w14:paraId="506B93D8" w14:textId="77777777" w:rsidR="00CC383C" w:rsidRPr="00CC383C" w:rsidRDefault="00CC383C" w:rsidP="00CC383C">
            <w:pPr>
              <w:spacing w:line="240" w:lineRule="auto"/>
              <w:jc w:val="left"/>
            </w:pPr>
          </w:p>
        </w:tc>
      </w:tr>
      <w:tr w:rsidR="00CC383C" w:rsidRPr="00CC383C" w14:paraId="288B6261" w14:textId="77777777" w:rsidTr="00B627ED">
        <w:trPr>
          <w:jc w:val="center"/>
        </w:trPr>
        <w:tc>
          <w:tcPr>
            <w:tcW w:w="562" w:type="dxa"/>
            <w:vAlign w:val="center"/>
          </w:tcPr>
          <w:p w14:paraId="6F8297F8" w14:textId="77777777" w:rsidR="00CC383C" w:rsidRPr="00CC383C" w:rsidRDefault="00CC383C" w:rsidP="00CC383C">
            <w:pPr>
              <w:spacing w:line="240" w:lineRule="auto"/>
              <w:jc w:val="left"/>
              <w:rPr>
                <w:b/>
                <w:bCs/>
              </w:rPr>
            </w:pPr>
            <w:r w:rsidRPr="00CC383C">
              <w:rPr>
                <w:b/>
                <w:bCs/>
              </w:rPr>
              <w:t>4</w:t>
            </w:r>
          </w:p>
        </w:tc>
        <w:tc>
          <w:tcPr>
            <w:tcW w:w="2928" w:type="dxa"/>
          </w:tcPr>
          <w:p w14:paraId="0DD90EA3" w14:textId="4879298A" w:rsidR="00CC383C" w:rsidRPr="00423BA9" w:rsidRDefault="00CC383C" w:rsidP="00CC383C">
            <w:pPr>
              <w:spacing w:line="240" w:lineRule="auto"/>
              <w:jc w:val="left"/>
            </w:pPr>
            <w:r w:rsidRPr="00423BA9">
              <w:t xml:space="preserve">Affidamento ad imprese femminili </w:t>
            </w:r>
            <w:r w:rsidR="007C260E" w:rsidRPr="00423BA9">
              <w:rPr>
                <w:rStyle w:val="Rimandonotaapidipagina"/>
              </w:rPr>
              <w:footnoteReference w:id="33"/>
            </w:r>
            <w:r w:rsidRPr="00423BA9">
              <w:t xml:space="preserve"> </w:t>
            </w:r>
            <w:r w:rsidR="00593CC0" w:rsidRPr="00423BA9">
              <w:t>di</w:t>
            </w:r>
            <w:r w:rsidR="00423BA9" w:rsidRPr="00423BA9">
              <w:t xml:space="preserve"> </w:t>
            </w:r>
            <w:r w:rsidRPr="00423BA9">
              <w:t>F</w:t>
            </w:r>
            <w:r w:rsidR="00CB6CD7" w:rsidRPr="00423BA9">
              <w:t>inanziamenti a fondo perduto</w:t>
            </w:r>
          </w:p>
          <w:p w14:paraId="0B6820A8" w14:textId="60F707E5" w:rsidR="00CC383C" w:rsidRPr="00CC383C" w:rsidRDefault="00CC383C" w:rsidP="00423BA9">
            <w:pPr>
              <w:spacing w:line="240" w:lineRule="auto"/>
              <w:jc w:val="left"/>
            </w:pPr>
          </w:p>
        </w:tc>
        <w:tc>
          <w:tcPr>
            <w:tcW w:w="1467" w:type="dxa"/>
          </w:tcPr>
          <w:p w14:paraId="729B042B" w14:textId="62DCB44C" w:rsidR="00CC383C" w:rsidRPr="00CC383C" w:rsidRDefault="099806E9" w:rsidP="00216B2B">
            <w:pPr>
              <w:spacing w:line="240" w:lineRule="auto"/>
              <w:jc w:val="left"/>
            </w:pPr>
            <w:r>
              <w:t xml:space="preserve">Percentuale uguale o superiore al </w:t>
            </w:r>
            <w:r w:rsidRPr="00B50B35">
              <w:t>75%</w:t>
            </w:r>
            <w:r>
              <w:t xml:space="preserve"> sul totale dei fondi concessi</w:t>
            </w:r>
          </w:p>
        </w:tc>
        <w:tc>
          <w:tcPr>
            <w:tcW w:w="1417" w:type="dxa"/>
          </w:tcPr>
          <w:p w14:paraId="3FFBD4AA" w14:textId="77777777" w:rsidR="00CC383C" w:rsidRPr="00CC383C" w:rsidRDefault="00CC383C" w:rsidP="00CC383C">
            <w:pPr>
              <w:spacing w:line="240" w:lineRule="auto"/>
              <w:jc w:val="left"/>
            </w:pPr>
            <w:r w:rsidRPr="00CC383C">
              <w:t>quantitativo</w:t>
            </w:r>
          </w:p>
        </w:tc>
        <w:tc>
          <w:tcPr>
            <w:tcW w:w="1559" w:type="dxa"/>
          </w:tcPr>
          <w:p w14:paraId="3B1A5F17" w14:textId="77777777" w:rsidR="00CC383C" w:rsidRPr="00CC383C" w:rsidRDefault="00CC383C" w:rsidP="00CC383C">
            <w:pPr>
              <w:spacing w:line="240" w:lineRule="auto"/>
              <w:jc w:val="left"/>
            </w:pPr>
            <w:r w:rsidRPr="00CC383C">
              <w:t>Percentuale (%)</w:t>
            </w:r>
          </w:p>
        </w:tc>
        <w:tc>
          <w:tcPr>
            <w:tcW w:w="1701" w:type="dxa"/>
          </w:tcPr>
          <w:p w14:paraId="7DBECD51" w14:textId="77777777" w:rsidR="00CC383C" w:rsidRPr="00CC383C" w:rsidRDefault="00CC383C" w:rsidP="00CC383C">
            <w:pPr>
              <w:spacing w:line="240" w:lineRule="auto"/>
              <w:jc w:val="left"/>
            </w:pPr>
            <w:r w:rsidRPr="00CC383C">
              <w:t>Interna / dato aziendale</w:t>
            </w:r>
          </w:p>
        </w:tc>
        <w:tc>
          <w:tcPr>
            <w:tcW w:w="567" w:type="dxa"/>
          </w:tcPr>
          <w:p w14:paraId="1BD7A612" w14:textId="77777777" w:rsidR="00CC383C" w:rsidRPr="00CC383C" w:rsidRDefault="00CC383C" w:rsidP="00CC383C">
            <w:pPr>
              <w:spacing w:line="240" w:lineRule="auto"/>
              <w:jc w:val="left"/>
            </w:pPr>
          </w:p>
        </w:tc>
        <w:tc>
          <w:tcPr>
            <w:tcW w:w="851" w:type="dxa"/>
          </w:tcPr>
          <w:p w14:paraId="3B0ACDF1" w14:textId="77777777" w:rsidR="00CC383C" w:rsidRPr="00CC383C" w:rsidRDefault="00CC383C" w:rsidP="00CC383C">
            <w:pPr>
              <w:spacing w:line="240" w:lineRule="auto"/>
              <w:jc w:val="left"/>
            </w:pPr>
          </w:p>
        </w:tc>
      </w:tr>
      <w:tr w:rsidR="00CC383C" w:rsidRPr="00CC383C" w14:paraId="1E293C2D" w14:textId="77777777" w:rsidTr="00B627ED">
        <w:trPr>
          <w:jc w:val="center"/>
        </w:trPr>
        <w:tc>
          <w:tcPr>
            <w:tcW w:w="562" w:type="dxa"/>
            <w:vAlign w:val="center"/>
          </w:tcPr>
          <w:p w14:paraId="0649F630" w14:textId="49EDD9CB" w:rsidR="00CC383C" w:rsidRPr="00CC383C" w:rsidRDefault="099806E9" w:rsidP="099806E9">
            <w:pPr>
              <w:spacing w:line="240" w:lineRule="auto"/>
              <w:jc w:val="left"/>
              <w:rPr>
                <w:b/>
                <w:bCs/>
              </w:rPr>
            </w:pPr>
            <w:r w:rsidRPr="099806E9">
              <w:rPr>
                <w:b/>
                <w:bCs/>
              </w:rPr>
              <w:t>5</w:t>
            </w:r>
          </w:p>
        </w:tc>
        <w:tc>
          <w:tcPr>
            <w:tcW w:w="2928" w:type="dxa"/>
          </w:tcPr>
          <w:p w14:paraId="32419214" w14:textId="75B1B8F1" w:rsidR="00CC383C" w:rsidRPr="00CC383C" w:rsidRDefault="00CC383C" w:rsidP="00DF47EB">
            <w:pPr>
              <w:spacing w:line="240" w:lineRule="auto"/>
              <w:jc w:val="left"/>
            </w:pPr>
            <w:r w:rsidRPr="00046542">
              <w:t xml:space="preserve">Affidamento ad imprese che hanno un alto tasso di rientro dopo il congedo post maternità </w:t>
            </w:r>
            <w:r w:rsidR="00DF47EB" w:rsidRPr="00CC383C">
              <w:t xml:space="preserve">di almeno per gli ultimi 3 anni </w:t>
            </w:r>
          </w:p>
        </w:tc>
        <w:tc>
          <w:tcPr>
            <w:tcW w:w="1467" w:type="dxa"/>
          </w:tcPr>
          <w:p w14:paraId="169BF0FE" w14:textId="04C1360F" w:rsidR="00CC383C" w:rsidRPr="00CC383C" w:rsidRDefault="00CC383C" w:rsidP="00DF47EB">
            <w:pPr>
              <w:spacing w:line="240" w:lineRule="auto"/>
              <w:jc w:val="left"/>
            </w:pPr>
            <w:r w:rsidRPr="00CC383C">
              <w:t xml:space="preserve">Percentuale uguale o superiore al 95% </w:t>
            </w:r>
            <w:r w:rsidR="00155E54">
              <w:t xml:space="preserve">ogni anno </w:t>
            </w:r>
          </w:p>
        </w:tc>
        <w:tc>
          <w:tcPr>
            <w:tcW w:w="1417" w:type="dxa"/>
          </w:tcPr>
          <w:p w14:paraId="7778F71E" w14:textId="77777777" w:rsidR="00CC383C" w:rsidRPr="00CC383C" w:rsidRDefault="00CC383C" w:rsidP="00CC383C">
            <w:pPr>
              <w:spacing w:line="240" w:lineRule="auto"/>
              <w:jc w:val="left"/>
            </w:pPr>
            <w:r w:rsidRPr="00CC383C">
              <w:t>quantitativo</w:t>
            </w:r>
          </w:p>
        </w:tc>
        <w:tc>
          <w:tcPr>
            <w:tcW w:w="1559" w:type="dxa"/>
          </w:tcPr>
          <w:p w14:paraId="76AD3899" w14:textId="77777777" w:rsidR="00CC383C" w:rsidRPr="00CC383C" w:rsidRDefault="00CC383C" w:rsidP="00CC383C">
            <w:pPr>
              <w:spacing w:line="240" w:lineRule="auto"/>
              <w:jc w:val="left"/>
            </w:pPr>
            <w:r w:rsidRPr="00CC383C">
              <w:t>Percentuale (%)</w:t>
            </w:r>
          </w:p>
        </w:tc>
        <w:tc>
          <w:tcPr>
            <w:tcW w:w="1701" w:type="dxa"/>
          </w:tcPr>
          <w:p w14:paraId="6E614BC7" w14:textId="77777777" w:rsidR="00CC383C" w:rsidRPr="00CC383C" w:rsidRDefault="00CC383C" w:rsidP="00CC383C">
            <w:pPr>
              <w:spacing w:line="240" w:lineRule="auto"/>
              <w:jc w:val="left"/>
            </w:pPr>
            <w:r w:rsidRPr="00CC383C">
              <w:t>Interna / dato aziendale / INPS</w:t>
            </w:r>
          </w:p>
          <w:p w14:paraId="25A4F76C" w14:textId="77777777" w:rsidR="00CC383C" w:rsidRPr="00CC383C" w:rsidRDefault="00CC383C" w:rsidP="00CC383C">
            <w:pPr>
              <w:spacing w:line="240" w:lineRule="auto"/>
              <w:jc w:val="left"/>
            </w:pPr>
          </w:p>
          <w:p w14:paraId="44B4B3E4" w14:textId="6903AE0F" w:rsidR="00CC383C" w:rsidRPr="00CC383C" w:rsidRDefault="00CC383C" w:rsidP="00CC383C">
            <w:pPr>
              <w:spacing w:line="240" w:lineRule="auto"/>
              <w:jc w:val="left"/>
            </w:pPr>
          </w:p>
        </w:tc>
        <w:tc>
          <w:tcPr>
            <w:tcW w:w="567" w:type="dxa"/>
          </w:tcPr>
          <w:p w14:paraId="6365FA82" w14:textId="77777777" w:rsidR="00CC383C" w:rsidRPr="00CC383C" w:rsidRDefault="00CC383C" w:rsidP="00CC383C">
            <w:pPr>
              <w:spacing w:line="240" w:lineRule="auto"/>
              <w:jc w:val="left"/>
            </w:pPr>
          </w:p>
        </w:tc>
        <w:tc>
          <w:tcPr>
            <w:tcW w:w="851" w:type="dxa"/>
          </w:tcPr>
          <w:p w14:paraId="5A482E68" w14:textId="77777777" w:rsidR="00CC383C" w:rsidRPr="00CC383C" w:rsidRDefault="00CC383C" w:rsidP="00CC383C">
            <w:pPr>
              <w:spacing w:line="240" w:lineRule="auto"/>
              <w:jc w:val="left"/>
            </w:pPr>
          </w:p>
        </w:tc>
      </w:tr>
      <w:tr w:rsidR="00CC383C" w:rsidRPr="00CC383C" w14:paraId="312ECC9C" w14:textId="77777777" w:rsidTr="00B627ED">
        <w:trPr>
          <w:jc w:val="center"/>
        </w:trPr>
        <w:tc>
          <w:tcPr>
            <w:tcW w:w="562" w:type="dxa"/>
            <w:vAlign w:val="center"/>
          </w:tcPr>
          <w:p w14:paraId="33EFF7D6" w14:textId="528F5087" w:rsidR="00CC383C" w:rsidRPr="00CC383C" w:rsidRDefault="007C708C" w:rsidP="099806E9">
            <w:pPr>
              <w:spacing w:line="240" w:lineRule="auto"/>
              <w:jc w:val="left"/>
              <w:rPr>
                <w:b/>
                <w:bCs/>
              </w:rPr>
            </w:pPr>
            <w:r>
              <w:rPr>
                <w:b/>
                <w:bCs/>
              </w:rPr>
              <w:t>6</w:t>
            </w:r>
          </w:p>
        </w:tc>
        <w:tc>
          <w:tcPr>
            <w:tcW w:w="2928" w:type="dxa"/>
          </w:tcPr>
          <w:p w14:paraId="34FB3162" w14:textId="4A9EA943" w:rsidR="00CC383C" w:rsidRPr="00CC383C" w:rsidRDefault="00CC383C" w:rsidP="0030639C">
            <w:pPr>
              <w:spacing w:line="240" w:lineRule="auto"/>
              <w:jc w:val="left"/>
            </w:pPr>
            <w:r w:rsidRPr="0075321E">
              <w:t xml:space="preserve">Affidamento ad imprese che possono documentare </w:t>
            </w:r>
            <w:r w:rsidR="00197F58">
              <w:t xml:space="preserve">di offrire </w:t>
            </w:r>
            <w:r w:rsidR="0030639C">
              <w:t xml:space="preserve">l’estensione della paternità per un periodo superiore a quello attualmente previsto dalla legge vigente </w:t>
            </w:r>
          </w:p>
        </w:tc>
        <w:tc>
          <w:tcPr>
            <w:tcW w:w="1467" w:type="dxa"/>
          </w:tcPr>
          <w:p w14:paraId="229C441A" w14:textId="77777777" w:rsidR="00CC383C" w:rsidRPr="00CC383C" w:rsidRDefault="00CC383C" w:rsidP="00197F58">
            <w:pPr>
              <w:spacing w:line="240" w:lineRule="auto"/>
              <w:jc w:val="left"/>
            </w:pPr>
          </w:p>
        </w:tc>
        <w:tc>
          <w:tcPr>
            <w:tcW w:w="1417" w:type="dxa"/>
          </w:tcPr>
          <w:p w14:paraId="5FED4E31" w14:textId="77777777" w:rsidR="00CC383C" w:rsidRPr="00CC383C" w:rsidRDefault="00CC383C" w:rsidP="00CC383C">
            <w:pPr>
              <w:spacing w:line="240" w:lineRule="auto"/>
              <w:jc w:val="left"/>
            </w:pPr>
            <w:r w:rsidRPr="00CC383C">
              <w:t>qualitativo</w:t>
            </w:r>
          </w:p>
        </w:tc>
        <w:tc>
          <w:tcPr>
            <w:tcW w:w="1559" w:type="dxa"/>
          </w:tcPr>
          <w:p w14:paraId="2DDDA936" w14:textId="77777777" w:rsidR="00CC383C" w:rsidRPr="00CC383C" w:rsidRDefault="00CC383C" w:rsidP="00CC383C">
            <w:pPr>
              <w:spacing w:line="240" w:lineRule="auto"/>
              <w:jc w:val="left"/>
            </w:pPr>
            <w:r w:rsidRPr="00CC383C">
              <w:t>Si/No</w:t>
            </w:r>
          </w:p>
        </w:tc>
        <w:tc>
          <w:tcPr>
            <w:tcW w:w="1701" w:type="dxa"/>
          </w:tcPr>
          <w:p w14:paraId="487D6FA8" w14:textId="2B51F6B3" w:rsidR="00CC383C" w:rsidRPr="00CC383C" w:rsidRDefault="00CC383C" w:rsidP="00CC383C">
            <w:pPr>
              <w:spacing w:line="240" w:lineRule="auto"/>
              <w:jc w:val="left"/>
            </w:pPr>
            <w:r w:rsidRPr="00CC383C">
              <w:t>Interna / dato aziendale</w:t>
            </w:r>
          </w:p>
          <w:p w14:paraId="0F315CA5" w14:textId="43D03E2A" w:rsidR="00CC383C" w:rsidRPr="00CC383C" w:rsidRDefault="00CC383C" w:rsidP="00CC383C">
            <w:pPr>
              <w:spacing w:line="240" w:lineRule="auto"/>
              <w:jc w:val="left"/>
            </w:pPr>
          </w:p>
        </w:tc>
        <w:tc>
          <w:tcPr>
            <w:tcW w:w="567" w:type="dxa"/>
          </w:tcPr>
          <w:p w14:paraId="73BBECE5" w14:textId="77777777" w:rsidR="00CC383C" w:rsidRPr="00CC383C" w:rsidRDefault="00CC383C" w:rsidP="00CC383C">
            <w:pPr>
              <w:spacing w:line="240" w:lineRule="auto"/>
              <w:jc w:val="left"/>
            </w:pPr>
          </w:p>
        </w:tc>
        <w:tc>
          <w:tcPr>
            <w:tcW w:w="851" w:type="dxa"/>
          </w:tcPr>
          <w:p w14:paraId="0B7C0DEC" w14:textId="77777777" w:rsidR="00CC383C" w:rsidRPr="00CC383C" w:rsidRDefault="00CC383C" w:rsidP="00CC383C">
            <w:pPr>
              <w:spacing w:line="240" w:lineRule="auto"/>
              <w:jc w:val="left"/>
            </w:pPr>
          </w:p>
        </w:tc>
      </w:tr>
      <w:tr w:rsidR="00CC383C" w:rsidRPr="00CC383C" w14:paraId="780AEB96" w14:textId="77777777" w:rsidTr="00B627ED">
        <w:trPr>
          <w:jc w:val="center"/>
        </w:trPr>
        <w:tc>
          <w:tcPr>
            <w:tcW w:w="562" w:type="dxa"/>
            <w:vAlign w:val="center"/>
          </w:tcPr>
          <w:p w14:paraId="6B6C4726" w14:textId="2E1A36C9" w:rsidR="00CC383C" w:rsidRPr="00CC383C" w:rsidRDefault="007C708C" w:rsidP="099806E9">
            <w:pPr>
              <w:spacing w:line="240" w:lineRule="auto"/>
              <w:jc w:val="left"/>
              <w:rPr>
                <w:b/>
                <w:bCs/>
              </w:rPr>
            </w:pPr>
            <w:r>
              <w:rPr>
                <w:b/>
                <w:bCs/>
              </w:rPr>
              <w:t>7</w:t>
            </w:r>
          </w:p>
        </w:tc>
        <w:tc>
          <w:tcPr>
            <w:tcW w:w="2928" w:type="dxa"/>
          </w:tcPr>
          <w:p w14:paraId="63EF97E4" w14:textId="2EC4A586" w:rsidR="00CC383C" w:rsidRPr="007611C7" w:rsidRDefault="00CC383C" w:rsidP="001616D0">
            <w:pPr>
              <w:spacing w:line="240" w:lineRule="auto"/>
              <w:jc w:val="left"/>
            </w:pPr>
            <w:r w:rsidRPr="007611C7">
              <w:t xml:space="preserve">Affidamento ad imprese che possono documentare di svolgere attività di formazione non obbligatoria a sostegno dello sviluppo professionale delle dipendenti donne </w:t>
            </w:r>
          </w:p>
        </w:tc>
        <w:tc>
          <w:tcPr>
            <w:tcW w:w="1467" w:type="dxa"/>
          </w:tcPr>
          <w:p w14:paraId="79A2FCA9" w14:textId="3CC64255" w:rsidR="00CC383C" w:rsidRPr="00CC383C" w:rsidRDefault="00CC383C" w:rsidP="00CC383C">
            <w:pPr>
              <w:spacing w:line="240" w:lineRule="auto"/>
              <w:jc w:val="left"/>
            </w:pPr>
          </w:p>
        </w:tc>
        <w:tc>
          <w:tcPr>
            <w:tcW w:w="1417" w:type="dxa"/>
          </w:tcPr>
          <w:p w14:paraId="7CC3E2BE" w14:textId="77777777" w:rsidR="00CC383C" w:rsidRPr="00CC383C" w:rsidRDefault="00CC383C" w:rsidP="00CC383C">
            <w:pPr>
              <w:spacing w:line="240" w:lineRule="auto"/>
              <w:jc w:val="left"/>
            </w:pPr>
            <w:r w:rsidRPr="00CC383C">
              <w:t>qualitativo</w:t>
            </w:r>
          </w:p>
        </w:tc>
        <w:tc>
          <w:tcPr>
            <w:tcW w:w="1559" w:type="dxa"/>
          </w:tcPr>
          <w:p w14:paraId="01DE7CE7" w14:textId="77777777" w:rsidR="00CC383C" w:rsidRPr="00CC383C" w:rsidRDefault="00CC383C" w:rsidP="00CC383C">
            <w:pPr>
              <w:spacing w:line="240" w:lineRule="auto"/>
              <w:jc w:val="left"/>
            </w:pPr>
            <w:r w:rsidRPr="00CC383C">
              <w:t>Si/No</w:t>
            </w:r>
          </w:p>
        </w:tc>
        <w:tc>
          <w:tcPr>
            <w:tcW w:w="1701" w:type="dxa"/>
          </w:tcPr>
          <w:p w14:paraId="4F6A505B" w14:textId="1CEB7E37" w:rsidR="00CC383C" w:rsidRPr="00CC383C" w:rsidRDefault="00CC383C" w:rsidP="00CC383C">
            <w:pPr>
              <w:spacing w:line="240" w:lineRule="auto"/>
              <w:jc w:val="left"/>
            </w:pPr>
          </w:p>
        </w:tc>
        <w:tc>
          <w:tcPr>
            <w:tcW w:w="567" w:type="dxa"/>
          </w:tcPr>
          <w:p w14:paraId="3C9993DE" w14:textId="77777777" w:rsidR="00CC383C" w:rsidRPr="00CC383C" w:rsidRDefault="00CC383C" w:rsidP="00CC383C">
            <w:pPr>
              <w:spacing w:line="240" w:lineRule="auto"/>
              <w:jc w:val="left"/>
            </w:pPr>
          </w:p>
        </w:tc>
        <w:tc>
          <w:tcPr>
            <w:tcW w:w="851" w:type="dxa"/>
          </w:tcPr>
          <w:p w14:paraId="6ACA9033" w14:textId="77777777" w:rsidR="00CC383C" w:rsidRPr="00CC383C" w:rsidRDefault="00CC383C" w:rsidP="00CC383C">
            <w:pPr>
              <w:spacing w:line="240" w:lineRule="auto"/>
              <w:jc w:val="left"/>
            </w:pPr>
          </w:p>
        </w:tc>
      </w:tr>
      <w:tr w:rsidR="00CC383C" w:rsidRPr="00CC383C" w14:paraId="3F15DDB4" w14:textId="77777777" w:rsidTr="00B627ED">
        <w:trPr>
          <w:jc w:val="center"/>
        </w:trPr>
        <w:tc>
          <w:tcPr>
            <w:tcW w:w="562" w:type="dxa"/>
            <w:vAlign w:val="center"/>
          </w:tcPr>
          <w:p w14:paraId="35CAEFF3" w14:textId="1062EFD5" w:rsidR="00CC383C" w:rsidRPr="00CC383C" w:rsidRDefault="001D6959" w:rsidP="00CC383C">
            <w:pPr>
              <w:spacing w:line="240" w:lineRule="auto"/>
              <w:jc w:val="left"/>
              <w:rPr>
                <w:b/>
                <w:bCs/>
              </w:rPr>
            </w:pPr>
            <w:r>
              <w:rPr>
                <w:b/>
                <w:bCs/>
              </w:rPr>
              <w:lastRenderedPageBreak/>
              <w:t>8</w:t>
            </w:r>
          </w:p>
        </w:tc>
        <w:tc>
          <w:tcPr>
            <w:tcW w:w="2928" w:type="dxa"/>
          </w:tcPr>
          <w:p w14:paraId="262BE8A7" w14:textId="6B7842F6" w:rsidR="00CC383C" w:rsidRPr="00CC383C" w:rsidRDefault="00CC383C" w:rsidP="001D6959">
            <w:pPr>
              <w:spacing w:line="240" w:lineRule="auto"/>
              <w:jc w:val="left"/>
              <w:rPr>
                <w:b/>
                <w:bCs/>
              </w:rPr>
            </w:pPr>
            <w:r w:rsidRPr="003C6EB8">
              <w:t xml:space="preserve">Affidamento ad imprese che hanno conseguito la certificazione di genere sul totale affidamenti </w:t>
            </w:r>
          </w:p>
        </w:tc>
        <w:tc>
          <w:tcPr>
            <w:tcW w:w="1467" w:type="dxa"/>
          </w:tcPr>
          <w:p w14:paraId="7D8902BD" w14:textId="559E11B5" w:rsidR="00CC383C" w:rsidRPr="00CC383C" w:rsidRDefault="003C6EB8" w:rsidP="00CC383C">
            <w:pPr>
              <w:spacing w:line="240" w:lineRule="auto"/>
              <w:jc w:val="left"/>
            </w:pPr>
            <w:r>
              <w:t xml:space="preserve">Percentuale uguale o superiore al </w:t>
            </w:r>
            <w:r w:rsidR="001D6959">
              <w:t>8</w:t>
            </w:r>
            <w:r w:rsidRPr="003C6EB8">
              <w:t>0%</w:t>
            </w:r>
          </w:p>
        </w:tc>
        <w:tc>
          <w:tcPr>
            <w:tcW w:w="1417" w:type="dxa"/>
          </w:tcPr>
          <w:p w14:paraId="0C3B1615" w14:textId="280A99EF" w:rsidR="00CC383C" w:rsidRPr="00CC383C" w:rsidRDefault="003C6EB8" w:rsidP="00CC383C">
            <w:pPr>
              <w:spacing w:line="240" w:lineRule="auto"/>
              <w:jc w:val="left"/>
            </w:pPr>
            <w:r>
              <w:t>quantitativo</w:t>
            </w:r>
          </w:p>
        </w:tc>
        <w:tc>
          <w:tcPr>
            <w:tcW w:w="1559" w:type="dxa"/>
          </w:tcPr>
          <w:p w14:paraId="51CADC33" w14:textId="77777777" w:rsidR="00CC383C" w:rsidRPr="00CC383C" w:rsidRDefault="00CC383C" w:rsidP="00CC383C">
            <w:pPr>
              <w:spacing w:line="240" w:lineRule="auto"/>
              <w:jc w:val="left"/>
            </w:pPr>
            <w:r w:rsidRPr="00CC383C">
              <w:t>Si/No</w:t>
            </w:r>
          </w:p>
        </w:tc>
        <w:tc>
          <w:tcPr>
            <w:tcW w:w="1701" w:type="dxa"/>
          </w:tcPr>
          <w:p w14:paraId="6E6E6FAF" w14:textId="77777777" w:rsidR="00CC383C" w:rsidRPr="00CC383C" w:rsidRDefault="00CC383C" w:rsidP="00CC383C">
            <w:pPr>
              <w:spacing w:line="240" w:lineRule="auto"/>
              <w:jc w:val="left"/>
            </w:pPr>
            <w:r w:rsidRPr="00CC383C">
              <w:t>Interna / dato aziendale</w:t>
            </w:r>
          </w:p>
        </w:tc>
        <w:tc>
          <w:tcPr>
            <w:tcW w:w="567" w:type="dxa"/>
          </w:tcPr>
          <w:p w14:paraId="1DBF80A4" w14:textId="77777777" w:rsidR="00CC383C" w:rsidRPr="00CC383C" w:rsidRDefault="00CC383C" w:rsidP="00CC383C">
            <w:pPr>
              <w:spacing w:line="240" w:lineRule="auto"/>
              <w:jc w:val="left"/>
            </w:pPr>
          </w:p>
        </w:tc>
        <w:tc>
          <w:tcPr>
            <w:tcW w:w="851" w:type="dxa"/>
          </w:tcPr>
          <w:p w14:paraId="56B6D4FD" w14:textId="77777777" w:rsidR="00CC383C" w:rsidRPr="00CC383C" w:rsidRDefault="00CC383C" w:rsidP="00CC383C">
            <w:pPr>
              <w:spacing w:line="240" w:lineRule="auto"/>
              <w:jc w:val="left"/>
            </w:pPr>
          </w:p>
        </w:tc>
      </w:tr>
    </w:tbl>
    <w:p w14:paraId="0F859518" w14:textId="77777777" w:rsidR="00CC383C" w:rsidRDefault="00CC383C" w:rsidP="00CC383C">
      <w:pPr>
        <w:jc w:val="center"/>
      </w:pPr>
      <w:r>
        <w:tab/>
      </w:r>
    </w:p>
    <w:p w14:paraId="25D418F5" w14:textId="5D13CF4E" w:rsidR="00CC383C" w:rsidRDefault="00CC383C" w:rsidP="00CC383C">
      <w:pPr>
        <w:jc w:val="center"/>
      </w:pPr>
      <w:r w:rsidRPr="006E0844">
        <w:t xml:space="preserve">Prospetto </w:t>
      </w:r>
      <w:r>
        <w:t>7</w:t>
      </w:r>
      <w:r w:rsidRPr="006E0844">
        <w:t xml:space="preserve"> – Area </w:t>
      </w:r>
      <w:r>
        <w:t>C</w:t>
      </w:r>
      <w:r w:rsidRPr="006E0844">
        <w:t xml:space="preserve">: </w:t>
      </w:r>
      <w:r w:rsidR="00AF4F9A">
        <w:t>A</w:t>
      </w:r>
      <w:r w:rsidR="00AF4F9A" w:rsidRPr="00AF4F9A">
        <w:t xml:space="preserve">zioni dirette della </w:t>
      </w:r>
      <w:r w:rsidR="00AF4F9A">
        <w:t>PA</w:t>
      </w:r>
    </w:p>
    <w:p w14:paraId="47E6890C" w14:textId="77777777" w:rsidR="00974FE8" w:rsidRDefault="00974FE8" w:rsidP="00CC383C">
      <w:pPr>
        <w:jc w:val="center"/>
      </w:pPr>
    </w:p>
    <w:tbl>
      <w:tblPr>
        <w:tblStyle w:val="Grigliatabella"/>
        <w:tblW w:w="11335" w:type="dxa"/>
        <w:jc w:val="center"/>
        <w:tblLayout w:type="fixed"/>
        <w:tblLook w:val="04A0" w:firstRow="1" w:lastRow="0" w:firstColumn="1" w:lastColumn="0" w:noHBand="0" w:noVBand="1"/>
      </w:tblPr>
      <w:tblGrid>
        <w:gridCol w:w="332"/>
        <w:gridCol w:w="3158"/>
        <w:gridCol w:w="1467"/>
        <w:gridCol w:w="1417"/>
        <w:gridCol w:w="1559"/>
        <w:gridCol w:w="1381"/>
        <w:gridCol w:w="887"/>
        <w:gridCol w:w="1134"/>
      </w:tblGrid>
      <w:tr w:rsidR="007E4FCA" w:rsidRPr="00974FE8" w14:paraId="2129A0E1" w14:textId="77777777" w:rsidTr="099806E9">
        <w:trPr>
          <w:jc w:val="center"/>
        </w:trPr>
        <w:tc>
          <w:tcPr>
            <w:tcW w:w="332" w:type="dxa"/>
            <w:vAlign w:val="center"/>
          </w:tcPr>
          <w:p w14:paraId="2E91A786" w14:textId="77777777" w:rsidR="007E4FCA" w:rsidRPr="00974FE8" w:rsidRDefault="007E4FCA" w:rsidP="007E4FCA">
            <w:pPr>
              <w:jc w:val="center"/>
              <w:rPr>
                <w:b/>
                <w:bCs/>
              </w:rPr>
            </w:pPr>
          </w:p>
        </w:tc>
        <w:tc>
          <w:tcPr>
            <w:tcW w:w="3158" w:type="dxa"/>
            <w:vAlign w:val="center"/>
          </w:tcPr>
          <w:p w14:paraId="24D49BD8" w14:textId="27DAD2A1" w:rsidR="007E4FCA" w:rsidRPr="00974FE8" w:rsidRDefault="007E4FCA" w:rsidP="007E4FCA">
            <w:pPr>
              <w:jc w:val="center"/>
              <w:rPr>
                <w:b/>
                <w:bCs/>
              </w:rPr>
            </w:pPr>
            <w:r w:rsidRPr="00055C57">
              <w:rPr>
                <w:b/>
                <w:bCs/>
              </w:rPr>
              <w:t>Proposte tematiche</w:t>
            </w:r>
          </w:p>
        </w:tc>
        <w:tc>
          <w:tcPr>
            <w:tcW w:w="1467" w:type="dxa"/>
            <w:vAlign w:val="center"/>
          </w:tcPr>
          <w:p w14:paraId="0B6B70FC" w14:textId="10CF2755" w:rsidR="007E4FCA" w:rsidRPr="00974FE8" w:rsidRDefault="007E4FCA" w:rsidP="007E4FCA">
            <w:pPr>
              <w:jc w:val="center"/>
            </w:pPr>
            <w:r w:rsidRPr="00055C57">
              <w:rPr>
                <w:b/>
                <w:bCs/>
              </w:rPr>
              <w:t>Indicatore</w:t>
            </w:r>
          </w:p>
        </w:tc>
        <w:tc>
          <w:tcPr>
            <w:tcW w:w="1417" w:type="dxa"/>
            <w:vAlign w:val="center"/>
          </w:tcPr>
          <w:p w14:paraId="33DA19E9" w14:textId="7624AE3C" w:rsidR="007E4FCA" w:rsidRPr="00974FE8" w:rsidRDefault="007E4FCA" w:rsidP="007E4FCA">
            <w:pPr>
              <w:jc w:val="center"/>
            </w:pPr>
            <w:r w:rsidRPr="004B3C22">
              <w:rPr>
                <w:b/>
                <w:bCs/>
              </w:rPr>
              <w:t>Tipologia indicatore</w:t>
            </w:r>
          </w:p>
        </w:tc>
        <w:tc>
          <w:tcPr>
            <w:tcW w:w="1559" w:type="dxa"/>
            <w:vAlign w:val="center"/>
          </w:tcPr>
          <w:p w14:paraId="5120D97C" w14:textId="783D2323" w:rsidR="007E4FCA" w:rsidRPr="00974FE8" w:rsidRDefault="007E4FCA" w:rsidP="007E4FCA">
            <w:pPr>
              <w:jc w:val="center"/>
            </w:pPr>
            <w:r w:rsidRPr="004B3C22">
              <w:rPr>
                <w:b/>
                <w:bCs/>
              </w:rPr>
              <w:t>Modalità misurazione</w:t>
            </w:r>
          </w:p>
        </w:tc>
        <w:tc>
          <w:tcPr>
            <w:tcW w:w="1381" w:type="dxa"/>
            <w:vAlign w:val="center"/>
          </w:tcPr>
          <w:p w14:paraId="74443BB7" w14:textId="5C79F2EB" w:rsidR="007E4FCA" w:rsidRPr="00974FE8" w:rsidRDefault="007E4FCA" w:rsidP="007E4FCA">
            <w:pPr>
              <w:jc w:val="center"/>
            </w:pPr>
            <w:r w:rsidRPr="004B3C22">
              <w:rPr>
                <w:b/>
                <w:bCs/>
              </w:rPr>
              <w:t>fonte</w:t>
            </w:r>
          </w:p>
        </w:tc>
        <w:tc>
          <w:tcPr>
            <w:tcW w:w="887" w:type="dxa"/>
            <w:vAlign w:val="center"/>
          </w:tcPr>
          <w:p w14:paraId="78B3DB3B" w14:textId="4D690F4A" w:rsidR="007E4FCA" w:rsidRPr="00974FE8" w:rsidRDefault="007E4FCA" w:rsidP="007E4FCA">
            <w:pPr>
              <w:jc w:val="center"/>
            </w:pPr>
            <w:r w:rsidRPr="004B3C22">
              <w:rPr>
                <w:b/>
                <w:bCs/>
              </w:rPr>
              <w:t>punti</w:t>
            </w:r>
          </w:p>
        </w:tc>
        <w:tc>
          <w:tcPr>
            <w:tcW w:w="1134" w:type="dxa"/>
            <w:vAlign w:val="center"/>
          </w:tcPr>
          <w:p w14:paraId="26EE5B19" w14:textId="527C75A1" w:rsidR="007E4FCA" w:rsidRPr="00974FE8" w:rsidRDefault="007E4FCA" w:rsidP="007E4FCA">
            <w:pPr>
              <w:jc w:val="center"/>
            </w:pPr>
            <w:r w:rsidRPr="004B3C22">
              <w:rPr>
                <w:b/>
                <w:bCs/>
              </w:rPr>
              <w:t>note</w:t>
            </w:r>
          </w:p>
        </w:tc>
      </w:tr>
      <w:tr w:rsidR="00974FE8" w:rsidRPr="00974FE8" w14:paraId="6E7154AA" w14:textId="77777777" w:rsidTr="099806E9">
        <w:trPr>
          <w:jc w:val="center"/>
        </w:trPr>
        <w:tc>
          <w:tcPr>
            <w:tcW w:w="332" w:type="dxa"/>
            <w:vAlign w:val="center"/>
          </w:tcPr>
          <w:p w14:paraId="205382F5" w14:textId="35DEE14C" w:rsidR="00974FE8" w:rsidRPr="00974FE8" w:rsidRDefault="00BD1F08" w:rsidP="00974FE8">
            <w:pPr>
              <w:jc w:val="center"/>
              <w:rPr>
                <w:b/>
                <w:bCs/>
              </w:rPr>
            </w:pPr>
            <w:r>
              <w:rPr>
                <w:b/>
                <w:bCs/>
              </w:rPr>
              <w:t>1</w:t>
            </w:r>
          </w:p>
        </w:tc>
        <w:tc>
          <w:tcPr>
            <w:tcW w:w="3158" w:type="dxa"/>
          </w:tcPr>
          <w:p w14:paraId="582BD66C" w14:textId="5968FD6C" w:rsidR="00974FE8" w:rsidRPr="00974FE8" w:rsidRDefault="099806E9" w:rsidP="000709A5">
            <w:pPr>
              <w:jc w:val="center"/>
              <w:rPr>
                <w:b/>
                <w:bCs/>
              </w:rPr>
            </w:pPr>
            <w:r>
              <w:t>% investimenti della PA in attività di formazione e sensibilizzazione su tematiche di genere, pari opportunità e valutazione impatto di genere</w:t>
            </w:r>
          </w:p>
        </w:tc>
        <w:tc>
          <w:tcPr>
            <w:tcW w:w="1467" w:type="dxa"/>
          </w:tcPr>
          <w:p w14:paraId="24CDE233" w14:textId="5BAC8DBF" w:rsidR="00974FE8" w:rsidRPr="00974FE8" w:rsidRDefault="00974FE8" w:rsidP="00974FE8">
            <w:pPr>
              <w:jc w:val="center"/>
            </w:pPr>
            <w:r w:rsidRPr="00974FE8">
              <w:t xml:space="preserve">Percentuale uguale o superiore al </w:t>
            </w:r>
            <w:r w:rsidR="000709A5" w:rsidRPr="00BC1725">
              <w:t>30</w:t>
            </w:r>
            <w:r w:rsidRPr="00BC1725">
              <w:t>%</w:t>
            </w:r>
            <w:r w:rsidRPr="00974FE8">
              <w:t xml:space="preserve"> d</w:t>
            </w:r>
            <w:r w:rsidR="00284C92">
              <w:t xml:space="preserve">elle risorse interne destinate alla </w:t>
            </w:r>
            <w:r w:rsidRPr="00974FE8">
              <w:t xml:space="preserve">formazione </w:t>
            </w:r>
          </w:p>
        </w:tc>
        <w:tc>
          <w:tcPr>
            <w:tcW w:w="1417" w:type="dxa"/>
          </w:tcPr>
          <w:p w14:paraId="096B86C3" w14:textId="77777777" w:rsidR="00974FE8" w:rsidRPr="00974FE8" w:rsidRDefault="00974FE8" w:rsidP="00974FE8">
            <w:pPr>
              <w:jc w:val="center"/>
            </w:pPr>
            <w:r w:rsidRPr="00974FE8">
              <w:t>quantitativo</w:t>
            </w:r>
          </w:p>
        </w:tc>
        <w:tc>
          <w:tcPr>
            <w:tcW w:w="1559" w:type="dxa"/>
          </w:tcPr>
          <w:p w14:paraId="7D1D9E35" w14:textId="77777777" w:rsidR="00974FE8" w:rsidRPr="00974FE8" w:rsidRDefault="00974FE8" w:rsidP="00974FE8">
            <w:pPr>
              <w:jc w:val="center"/>
            </w:pPr>
            <w:r w:rsidRPr="00974FE8">
              <w:t>Percentuale (%)</w:t>
            </w:r>
          </w:p>
        </w:tc>
        <w:tc>
          <w:tcPr>
            <w:tcW w:w="1381" w:type="dxa"/>
          </w:tcPr>
          <w:p w14:paraId="744B605F" w14:textId="77777777" w:rsidR="00974FE8" w:rsidRPr="00974FE8" w:rsidRDefault="00974FE8" w:rsidP="00974FE8">
            <w:pPr>
              <w:jc w:val="center"/>
            </w:pPr>
            <w:r w:rsidRPr="00974FE8">
              <w:t>Interna / dato ente</w:t>
            </w:r>
          </w:p>
        </w:tc>
        <w:tc>
          <w:tcPr>
            <w:tcW w:w="887" w:type="dxa"/>
          </w:tcPr>
          <w:p w14:paraId="0ABD05F0" w14:textId="77777777" w:rsidR="00974FE8" w:rsidRPr="00974FE8" w:rsidRDefault="00974FE8" w:rsidP="00974FE8">
            <w:pPr>
              <w:jc w:val="center"/>
            </w:pPr>
          </w:p>
        </w:tc>
        <w:tc>
          <w:tcPr>
            <w:tcW w:w="1134" w:type="dxa"/>
          </w:tcPr>
          <w:p w14:paraId="1099918C" w14:textId="77777777" w:rsidR="00974FE8" w:rsidRPr="00974FE8" w:rsidRDefault="00974FE8" w:rsidP="00974FE8">
            <w:pPr>
              <w:jc w:val="center"/>
            </w:pPr>
          </w:p>
        </w:tc>
      </w:tr>
      <w:tr w:rsidR="00974FE8" w:rsidRPr="00974FE8" w14:paraId="6F67575C" w14:textId="77777777" w:rsidTr="099806E9">
        <w:trPr>
          <w:jc w:val="center"/>
        </w:trPr>
        <w:tc>
          <w:tcPr>
            <w:tcW w:w="332" w:type="dxa"/>
            <w:vAlign w:val="center"/>
          </w:tcPr>
          <w:p w14:paraId="0CC9EF6D" w14:textId="6AA4CCAF" w:rsidR="00974FE8" w:rsidRPr="00974FE8" w:rsidRDefault="00EC6679" w:rsidP="00974FE8">
            <w:pPr>
              <w:jc w:val="center"/>
              <w:rPr>
                <w:b/>
                <w:bCs/>
              </w:rPr>
            </w:pPr>
            <w:r>
              <w:rPr>
                <w:b/>
                <w:bCs/>
              </w:rPr>
              <w:t>2</w:t>
            </w:r>
          </w:p>
        </w:tc>
        <w:tc>
          <w:tcPr>
            <w:tcW w:w="3158" w:type="dxa"/>
          </w:tcPr>
          <w:p w14:paraId="39F2F134" w14:textId="77777777" w:rsidR="00974FE8" w:rsidRPr="00974FE8" w:rsidRDefault="00974FE8" w:rsidP="00974FE8">
            <w:pPr>
              <w:jc w:val="center"/>
            </w:pPr>
            <w:r w:rsidRPr="00974FE8">
              <w:rPr>
                <w:b/>
                <w:bCs/>
              </w:rPr>
              <w:t xml:space="preserve">% </w:t>
            </w:r>
            <w:r w:rsidRPr="00974FE8">
              <w:t>investimenti della PA destinati all’adozione e attuazione, nel territorio e/o a livello nazionale (ad es. INPS), di politiche per la genitorialità e per l’equilibrio dei ruoli di cura all’interno dei nuclei familiari</w:t>
            </w:r>
          </w:p>
          <w:p w14:paraId="381C321B" w14:textId="77777777" w:rsidR="00974FE8" w:rsidRPr="00974FE8" w:rsidRDefault="00974FE8" w:rsidP="00974FE8">
            <w:pPr>
              <w:jc w:val="center"/>
              <w:rPr>
                <w:b/>
                <w:bCs/>
              </w:rPr>
            </w:pPr>
          </w:p>
        </w:tc>
        <w:tc>
          <w:tcPr>
            <w:tcW w:w="1467" w:type="dxa"/>
          </w:tcPr>
          <w:p w14:paraId="2CBB03F6" w14:textId="264D230C" w:rsidR="00974FE8" w:rsidRPr="00974FE8" w:rsidRDefault="00974FE8" w:rsidP="00974FE8">
            <w:pPr>
              <w:jc w:val="center"/>
            </w:pPr>
            <w:r w:rsidRPr="00974FE8">
              <w:t xml:space="preserve">Percentuale uguale o superiore al </w:t>
            </w:r>
            <w:r w:rsidR="00BC1725" w:rsidRPr="00BC1725">
              <w:t>30</w:t>
            </w:r>
            <w:r w:rsidRPr="00BC1725">
              <w:t>%</w:t>
            </w:r>
            <w:r w:rsidRPr="00974FE8">
              <w:t xml:space="preserve"> </w:t>
            </w:r>
            <w:r w:rsidR="00284C92" w:rsidRPr="00974FE8">
              <w:t>d</w:t>
            </w:r>
            <w:r w:rsidR="00284C92">
              <w:t>elle risorse interne</w:t>
            </w:r>
            <w:r w:rsidR="00BC1725">
              <w:t xml:space="preserve"> destinate allo scopo</w:t>
            </w:r>
          </w:p>
        </w:tc>
        <w:tc>
          <w:tcPr>
            <w:tcW w:w="1417" w:type="dxa"/>
          </w:tcPr>
          <w:p w14:paraId="1D93B927" w14:textId="77777777" w:rsidR="00974FE8" w:rsidRPr="00974FE8" w:rsidRDefault="00974FE8" w:rsidP="00974FE8">
            <w:pPr>
              <w:jc w:val="center"/>
            </w:pPr>
            <w:r w:rsidRPr="00974FE8">
              <w:t>quantitativo</w:t>
            </w:r>
          </w:p>
        </w:tc>
        <w:tc>
          <w:tcPr>
            <w:tcW w:w="1559" w:type="dxa"/>
          </w:tcPr>
          <w:p w14:paraId="4732DD44" w14:textId="77777777" w:rsidR="00974FE8" w:rsidRPr="00974FE8" w:rsidRDefault="00974FE8" w:rsidP="00974FE8">
            <w:pPr>
              <w:jc w:val="center"/>
            </w:pPr>
            <w:r w:rsidRPr="00974FE8">
              <w:t>Percentuale (%)</w:t>
            </w:r>
          </w:p>
        </w:tc>
        <w:tc>
          <w:tcPr>
            <w:tcW w:w="1381" w:type="dxa"/>
          </w:tcPr>
          <w:p w14:paraId="055F5A37" w14:textId="77777777" w:rsidR="00974FE8" w:rsidRPr="00974FE8" w:rsidRDefault="00974FE8" w:rsidP="00974FE8">
            <w:pPr>
              <w:jc w:val="center"/>
            </w:pPr>
            <w:r w:rsidRPr="00974FE8">
              <w:t>Interna / dato ente</w:t>
            </w:r>
          </w:p>
        </w:tc>
        <w:tc>
          <w:tcPr>
            <w:tcW w:w="887" w:type="dxa"/>
          </w:tcPr>
          <w:p w14:paraId="3614A1A9" w14:textId="77777777" w:rsidR="00974FE8" w:rsidRPr="00974FE8" w:rsidRDefault="00974FE8" w:rsidP="00974FE8">
            <w:pPr>
              <w:jc w:val="center"/>
            </w:pPr>
          </w:p>
        </w:tc>
        <w:tc>
          <w:tcPr>
            <w:tcW w:w="1134" w:type="dxa"/>
          </w:tcPr>
          <w:p w14:paraId="508A9447" w14:textId="77777777" w:rsidR="00974FE8" w:rsidRPr="00974FE8" w:rsidRDefault="00974FE8" w:rsidP="00974FE8">
            <w:pPr>
              <w:jc w:val="center"/>
            </w:pPr>
          </w:p>
        </w:tc>
      </w:tr>
      <w:tr w:rsidR="00974FE8" w:rsidRPr="00974FE8" w14:paraId="30CED3C6" w14:textId="77777777" w:rsidTr="099806E9">
        <w:trPr>
          <w:jc w:val="center"/>
        </w:trPr>
        <w:tc>
          <w:tcPr>
            <w:tcW w:w="332" w:type="dxa"/>
            <w:vAlign w:val="center"/>
          </w:tcPr>
          <w:p w14:paraId="6A8F5004" w14:textId="64A7078D" w:rsidR="00974FE8" w:rsidRPr="00974FE8" w:rsidRDefault="00EC6679" w:rsidP="00974FE8">
            <w:pPr>
              <w:jc w:val="center"/>
              <w:rPr>
                <w:b/>
                <w:bCs/>
              </w:rPr>
            </w:pPr>
            <w:r>
              <w:rPr>
                <w:b/>
                <w:bCs/>
              </w:rPr>
              <w:t>3</w:t>
            </w:r>
          </w:p>
        </w:tc>
        <w:tc>
          <w:tcPr>
            <w:tcW w:w="3158" w:type="dxa"/>
          </w:tcPr>
          <w:p w14:paraId="16FDA35D" w14:textId="77777777" w:rsidR="00974FE8" w:rsidRPr="00974FE8" w:rsidRDefault="00974FE8" w:rsidP="00974FE8">
            <w:pPr>
              <w:jc w:val="center"/>
            </w:pPr>
            <w:r w:rsidRPr="00974FE8">
              <w:rPr>
                <w:b/>
                <w:bCs/>
              </w:rPr>
              <w:t xml:space="preserve">% </w:t>
            </w:r>
            <w:r w:rsidRPr="00974FE8">
              <w:t xml:space="preserve">investimenti della PA in attività diretta, e nella </w:t>
            </w:r>
            <w:r w:rsidRPr="00C031BD">
              <w:rPr>
                <w:b/>
                <w:bCs/>
              </w:rPr>
              <w:t>promozione</w:t>
            </w:r>
            <w:r w:rsidRPr="00974FE8">
              <w:t xml:space="preserve"> di attività, di </w:t>
            </w:r>
            <w:r w:rsidRPr="00C031BD">
              <w:rPr>
                <w:b/>
                <w:bCs/>
              </w:rPr>
              <w:t>educazione</w:t>
            </w:r>
            <w:r w:rsidRPr="00974FE8">
              <w:t xml:space="preserve"> e </w:t>
            </w:r>
            <w:r w:rsidRPr="00C031BD">
              <w:rPr>
                <w:b/>
                <w:bCs/>
              </w:rPr>
              <w:t>formazione</w:t>
            </w:r>
            <w:r w:rsidRPr="00974FE8">
              <w:t xml:space="preserve"> nelle scuole (dalla primaria </w:t>
            </w:r>
            <w:r w:rsidRPr="00974FE8">
              <w:lastRenderedPageBreak/>
              <w:t>alle superiori) sui temi della parità.</w:t>
            </w:r>
          </w:p>
          <w:p w14:paraId="7A13039F" w14:textId="77777777" w:rsidR="00BC1725" w:rsidRDefault="00BC1725" w:rsidP="00974FE8">
            <w:pPr>
              <w:jc w:val="center"/>
            </w:pPr>
          </w:p>
          <w:p w14:paraId="1B70EE92" w14:textId="4AE2CE59" w:rsidR="00974FE8" w:rsidRPr="00974FE8" w:rsidRDefault="00974FE8" w:rsidP="00974FE8">
            <w:pPr>
              <w:jc w:val="center"/>
            </w:pPr>
            <w:r w:rsidRPr="00974FE8">
              <w:t xml:space="preserve">Es. educazione civica, educazione affettiva, formazione su forme di bullismo e cyberbullismo, formazione su identificazione della violenza di genere e della violenza </w:t>
            </w:r>
            <w:proofErr w:type="spellStart"/>
            <w:r w:rsidRPr="00974FE8">
              <w:t>omobitransfobica</w:t>
            </w:r>
            <w:proofErr w:type="spellEnd"/>
            <w:r w:rsidRPr="00974FE8">
              <w:t>, ecc.</w:t>
            </w:r>
          </w:p>
          <w:p w14:paraId="567D0AF7" w14:textId="77777777" w:rsidR="00974FE8" w:rsidRPr="00974FE8" w:rsidRDefault="00974FE8" w:rsidP="00974FE8">
            <w:pPr>
              <w:jc w:val="center"/>
              <w:rPr>
                <w:b/>
                <w:bCs/>
              </w:rPr>
            </w:pPr>
          </w:p>
        </w:tc>
        <w:tc>
          <w:tcPr>
            <w:tcW w:w="1467" w:type="dxa"/>
          </w:tcPr>
          <w:p w14:paraId="161A7ADA" w14:textId="217F8725" w:rsidR="00974FE8" w:rsidRPr="00974FE8" w:rsidRDefault="00974FE8" w:rsidP="00974FE8">
            <w:pPr>
              <w:jc w:val="center"/>
            </w:pPr>
            <w:r w:rsidRPr="00974FE8">
              <w:lastRenderedPageBreak/>
              <w:t xml:space="preserve">Percentuale uguale o superiore al </w:t>
            </w:r>
            <w:r w:rsidR="00BC1725" w:rsidRPr="00BC1725">
              <w:t>30%</w:t>
            </w:r>
            <w:r w:rsidR="00BC1725" w:rsidRPr="00974FE8">
              <w:t xml:space="preserve"> d</w:t>
            </w:r>
            <w:r w:rsidR="00BC1725">
              <w:t xml:space="preserve">elle risorse interne </w:t>
            </w:r>
            <w:r w:rsidR="00BC1725">
              <w:lastRenderedPageBreak/>
              <w:t xml:space="preserve">destinate alla </w:t>
            </w:r>
            <w:r w:rsidR="00BC1725" w:rsidRPr="00974FE8">
              <w:t xml:space="preserve">formazione </w:t>
            </w:r>
          </w:p>
        </w:tc>
        <w:tc>
          <w:tcPr>
            <w:tcW w:w="1417" w:type="dxa"/>
          </w:tcPr>
          <w:p w14:paraId="10E7BDDD" w14:textId="77777777" w:rsidR="00974FE8" w:rsidRPr="00974FE8" w:rsidRDefault="00974FE8" w:rsidP="00974FE8">
            <w:pPr>
              <w:jc w:val="center"/>
            </w:pPr>
            <w:r w:rsidRPr="00974FE8">
              <w:lastRenderedPageBreak/>
              <w:t>quantitativo</w:t>
            </w:r>
          </w:p>
        </w:tc>
        <w:tc>
          <w:tcPr>
            <w:tcW w:w="1559" w:type="dxa"/>
          </w:tcPr>
          <w:p w14:paraId="256B7166" w14:textId="77777777" w:rsidR="00974FE8" w:rsidRPr="00974FE8" w:rsidRDefault="00974FE8" w:rsidP="00974FE8">
            <w:pPr>
              <w:jc w:val="center"/>
            </w:pPr>
            <w:r w:rsidRPr="00974FE8">
              <w:t>Percentuale (%)</w:t>
            </w:r>
          </w:p>
        </w:tc>
        <w:tc>
          <w:tcPr>
            <w:tcW w:w="1381" w:type="dxa"/>
          </w:tcPr>
          <w:p w14:paraId="25EA0CAE" w14:textId="77777777" w:rsidR="00974FE8" w:rsidRPr="00974FE8" w:rsidRDefault="00974FE8" w:rsidP="00974FE8">
            <w:pPr>
              <w:jc w:val="center"/>
            </w:pPr>
            <w:r w:rsidRPr="00974FE8">
              <w:t>Interna / dato ente</w:t>
            </w:r>
          </w:p>
        </w:tc>
        <w:tc>
          <w:tcPr>
            <w:tcW w:w="887" w:type="dxa"/>
          </w:tcPr>
          <w:p w14:paraId="1EF532A6" w14:textId="77777777" w:rsidR="00974FE8" w:rsidRPr="00974FE8" w:rsidRDefault="00974FE8" w:rsidP="00974FE8">
            <w:pPr>
              <w:jc w:val="center"/>
            </w:pPr>
          </w:p>
        </w:tc>
        <w:tc>
          <w:tcPr>
            <w:tcW w:w="1134" w:type="dxa"/>
          </w:tcPr>
          <w:p w14:paraId="3FA4D010" w14:textId="77777777" w:rsidR="00974FE8" w:rsidRPr="00974FE8" w:rsidRDefault="00974FE8" w:rsidP="00974FE8">
            <w:pPr>
              <w:jc w:val="center"/>
            </w:pPr>
          </w:p>
        </w:tc>
      </w:tr>
      <w:tr w:rsidR="00974FE8" w:rsidRPr="00974FE8" w14:paraId="48C21AAC" w14:textId="77777777" w:rsidTr="099806E9">
        <w:trPr>
          <w:jc w:val="center"/>
        </w:trPr>
        <w:tc>
          <w:tcPr>
            <w:tcW w:w="332" w:type="dxa"/>
            <w:vAlign w:val="center"/>
          </w:tcPr>
          <w:p w14:paraId="099F243B" w14:textId="12C21C6F" w:rsidR="00974FE8" w:rsidRPr="00974FE8" w:rsidRDefault="00EC6679" w:rsidP="00974FE8">
            <w:pPr>
              <w:jc w:val="center"/>
              <w:rPr>
                <w:b/>
                <w:bCs/>
              </w:rPr>
            </w:pPr>
            <w:r>
              <w:rPr>
                <w:b/>
                <w:bCs/>
              </w:rPr>
              <w:t>4</w:t>
            </w:r>
          </w:p>
        </w:tc>
        <w:tc>
          <w:tcPr>
            <w:tcW w:w="3158" w:type="dxa"/>
          </w:tcPr>
          <w:p w14:paraId="393DA1FB" w14:textId="77777777" w:rsidR="00974FE8" w:rsidRPr="00974FE8" w:rsidRDefault="00974FE8" w:rsidP="00974FE8">
            <w:pPr>
              <w:jc w:val="center"/>
            </w:pPr>
            <w:r w:rsidRPr="00974FE8">
              <w:rPr>
                <w:b/>
                <w:bCs/>
              </w:rPr>
              <w:t xml:space="preserve">% </w:t>
            </w:r>
            <w:r w:rsidRPr="00974FE8">
              <w:t xml:space="preserve">investimenti della PA nella promozione di </w:t>
            </w:r>
            <w:r w:rsidRPr="00C031BD">
              <w:rPr>
                <w:b/>
                <w:bCs/>
              </w:rPr>
              <w:t>campagne</w:t>
            </w:r>
            <w:r w:rsidRPr="00974FE8">
              <w:t xml:space="preserve"> di sensibilizzazione contro la violenza di genere, economica, psicologica e fisica</w:t>
            </w:r>
          </w:p>
          <w:p w14:paraId="0C7BFD04" w14:textId="77777777" w:rsidR="00974FE8" w:rsidRPr="00974FE8" w:rsidRDefault="00974FE8" w:rsidP="00974FE8">
            <w:pPr>
              <w:jc w:val="center"/>
              <w:rPr>
                <w:b/>
                <w:bCs/>
              </w:rPr>
            </w:pPr>
          </w:p>
        </w:tc>
        <w:tc>
          <w:tcPr>
            <w:tcW w:w="1467" w:type="dxa"/>
          </w:tcPr>
          <w:p w14:paraId="0BA64C56" w14:textId="58E182A9" w:rsidR="00974FE8" w:rsidRPr="00974FE8" w:rsidRDefault="00974FE8" w:rsidP="00974FE8">
            <w:pPr>
              <w:jc w:val="center"/>
            </w:pPr>
            <w:r w:rsidRPr="00974FE8">
              <w:t xml:space="preserve">Percentuale uguale o superiore al </w:t>
            </w:r>
            <w:r w:rsidR="00BC1725" w:rsidRPr="00BC1725">
              <w:t>30%</w:t>
            </w:r>
            <w:r w:rsidR="00BC1725" w:rsidRPr="00974FE8">
              <w:t xml:space="preserve"> d</w:t>
            </w:r>
            <w:r w:rsidR="00BC1725">
              <w:t xml:space="preserve">elle risorse interne destinate </w:t>
            </w:r>
            <w:r w:rsidR="00EC6679">
              <w:t>allo scopo</w:t>
            </w:r>
          </w:p>
        </w:tc>
        <w:tc>
          <w:tcPr>
            <w:tcW w:w="1417" w:type="dxa"/>
          </w:tcPr>
          <w:p w14:paraId="05CB3678" w14:textId="77777777" w:rsidR="00974FE8" w:rsidRPr="00974FE8" w:rsidRDefault="00974FE8" w:rsidP="00974FE8">
            <w:pPr>
              <w:jc w:val="center"/>
            </w:pPr>
            <w:r w:rsidRPr="00974FE8">
              <w:t>quantitativo</w:t>
            </w:r>
          </w:p>
        </w:tc>
        <w:tc>
          <w:tcPr>
            <w:tcW w:w="1559" w:type="dxa"/>
          </w:tcPr>
          <w:p w14:paraId="5FF5480C" w14:textId="77777777" w:rsidR="00974FE8" w:rsidRPr="00974FE8" w:rsidRDefault="00974FE8" w:rsidP="00974FE8">
            <w:pPr>
              <w:jc w:val="center"/>
            </w:pPr>
            <w:r w:rsidRPr="00974FE8">
              <w:t>Percentuale (%)</w:t>
            </w:r>
          </w:p>
        </w:tc>
        <w:tc>
          <w:tcPr>
            <w:tcW w:w="1381" w:type="dxa"/>
          </w:tcPr>
          <w:p w14:paraId="5FD9E5E0" w14:textId="77777777" w:rsidR="00974FE8" w:rsidRPr="00974FE8" w:rsidRDefault="00974FE8" w:rsidP="00974FE8">
            <w:pPr>
              <w:jc w:val="center"/>
            </w:pPr>
            <w:r w:rsidRPr="00974FE8">
              <w:t>Interna / dato ente</w:t>
            </w:r>
          </w:p>
        </w:tc>
        <w:tc>
          <w:tcPr>
            <w:tcW w:w="887" w:type="dxa"/>
          </w:tcPr>
          <w:p w14:paraId="4554A355" w14:textId="77777777" w:rsidR="00974FE8" w:rsidRPr="00974FE8" w:rsidRDefault="00974FE8" w:rsidP="00974FE8">
            <w:pPr>
              <w:jc w:val="center"/>
            </w:pPr>
          </w:p>
        </w:tc>
        <w:tc>
          <w:tcPr>
            <w:tcW w:w="1134" w:type="dxa"/>
          </w:tcPr>
          <w:p w14:paraId="5B0ACF5D" w14:textId="77777777" w:rsidR="00974FE8" w:rsidRPr="00974FE8" w:rsidRDefault="00974FE8" w:rsidP="00974FE8">
            <w:pPr>
              <w:jc w:val="center"/>
            </w:pPr>
          </w:p>
        </w:tc>
      </w:tr>
    </w:tbl>
    <w:p w14:paraId="1107EAEF" w14:textId="38A1B9C3" w:rsidR="0094003F" w:rsidRDefault="0094003F">
      <w:pPr>
        <w:spacing w:line="240" w:lineRule="auto"/>
        <w:jc w:val="left"/>
        <w:sectPr w:rsidR="0094003F" w:rsidSect="0062052E">
          <w:pgSz w:w="16838" w:h="11906" w:orient="landscape" w:code="9"/>
          <w:pgMar w:top="1077" w:right="1440" w:bottom="1077" w:left="1440" w:header="709" w:footer="709" w:gutter="0"/>
          <w:cols w:space="720"/>
          <w:docGrid w:linePitch="360"/>
        </w:sectPr>
      </w:pPr>
    </w:p>
    <w:p w14:paraId="22F6B2D3" w14:textId="0CD1C3EA" w:rsidR="7FE4EE43" w:rsidRDefault="7FE4EE43" w:rsidP="7FE4EE43">
      <w:pPr>
        <w:tabs>
          <w:tab w:val="left" w:pos="4347"/>
        </w:tabs>
        <w:spacing w:line="240" w:lineRule="auto"/>
        <w:jc w:val="left"/>
      </w:pPr>
    </w:p>
    <w:p w14:paraId="76BBBAC6" w14:textId="2BEC02E2" w:rsidR="1F69B4F3" w:rsidRDefault="1F69B4F3" w:rsidP="7FE4EE43">
      <w:pPr>
        <w:pStyle w:val="Titolo1"/>
        <w:rPr>
          <w:rFonts w:eastAsia="Arial Unicode MS"/>
        </w:rPr>
      </w:pPr>
      <w:bookmarkStart w:id="48" w:name="_Toc201141709"/>
      <w:r w:rsidRPr="7FE4EE43">
        <w:rPr>
          <w:rFonts w:eastAsia="Arial Unicode MS"/>
        </w:rPr>
        <w:t>VALUTAZIONE DI CONFORMITÀ</w:t>
      </w:r>
      <w:bookmarkEnd w:id="48"/>
    </w:p>
    <w:p w14:paraId="1201EAD1" w14:textId="218198AC" w:rsidR="7FE4EE43" w:rsidRDefault="7FE4EE43" w:rsidP="7FE4EE43"/>
    <w:p w14:paraId="4317DEC5" w14:textId="2F39788E" w:rsidR="5EB19722" w:rsidRDefault="5EB19722" w:rsidP="7FE4EE43">
      <w:pPr>
        <w:spacing w:after="160" w:line="257" w:lineRule="auto"/>
      </w:pPr>
      <w:r w:rsidRPr="7FE4EE43">
        <w:t>La valutazione di conformità è utilizzata nel mercato al fine di accrescere la fiducia nella conformità di un oggetto.</w:t>
      </w:r>
    </w:p>
    <w:p w14:paraId="202FF778" w14:textId="4E23BBE0" w:rsidR="5EB19722" w:rsidRDefault="5EB19722" w:rsidP="7FE4EE43">
      <w:pPr>
        <w:spacing w:after="160" w:line="257" w:lineRule="auto"/>
      </w:pPr>
      <w:r w:rsidRPr="7FE4EE43">
        <w:t>La valutazione di conformità del PROCESSO ai requisiti della presente norma può essere effettuata da:</w:t>
      </w:r>
    </w:p>
    <w:p w14:paraId="5B4EBB89" w14:textId="673F5CB8" w:rsidR="5EB19722" w:rsidRDefault="5EB19722" w:rsidP="7FE4EE43">
      <w:pPr>
        <w:spacing w:after="160" w:line="257" w:lineRule="auto"/>
        <w:ind w:left="316" w:hanging="316"/>
      </w:pPr>
      <w:r w:rsidRPr="7FE4EE43">
        <w:t>-</w:t>
      </w:r>
      <w:r>
        <w:tab/>
      </w:r>
      <w:r w:rsidRPr="7FE4EE43">
        <w:t>fornitore del PROCESSO (prima parte);</w:t>
      </w:r>
    </w:p>
    <w:p w14:paraId="27A2F612" w14:textId="6A5137B7" w:rsidR="5EB19722" w:rsidRDefault="5EB19722" w:rsidP="7FE4EE43">
      <w:pPr>
        <w:spacing w:after="160" w:line="257" w:lineRule="auto"/>
        <w:ind w:left="316" w:hanging="316"/>
      </w:pPr>
      <w:r w:rsidRPr="7FE4EE43">
        <w:t>-</w:t>
      </w:r>
      <w:r>
        <w:tab/>
      </w:r>
      <w:r w:rsidRPr="7FE4EE43">
        <w:t>utilizzatore del PROCESSO (seconda parte);</w:t>
      </w:r>
    </w:p>
    <w:p w14:paraId="4EAF96B6" w14:textId="5645DA74" w:rsidR="5EB19722" w:rsidRDefault="5EB19722" w:rsidP="7FE4EE43">
      <w:pPr>
        <w:spacing w:after="160" w:line="257" w:lineRule="auto"/>
        <w:ind w:left="316" w:hanging="316"/>
      </w:pPr>
      <w:r w:rsidRPr="7FE4EE43">
        <w:t>-</w:t>
      </w:r>
      <w:r>
        <w:tab/>
      </w:r>
      <w:r w:rsidRPr="7FE4EE43">
        <w:t>un organismo di certificazione indipendente (terza parte), accreditato in conformità alla UNI CEI EN ISO/IEC 17065:2012.</w:t>
      </w:r>
    </w:p>
    <w:p w14:paraId="4B036B2A" w14:textId="334FAFEC" w:rsidR="5EB19722" w:rsidRDefault="5EB19722" w:rsidP="7FE4EE43">
      <w:pPr>
        <w:spacing w:after="160" w:line="257" w:lineRule="auto"/>
      </w:pPr>
      <w:r w:rsidRPr="7FE4EE43">
        <w:t>Qualora l'organizzazione intenda effettuare una valutazione di conformità di prima parte, quest'ultima deve essere conforme alla UNI CEI EN ISO/IEC 17050.</w:t>
      </w:r>
    </w:p>
    <w:p w14:paraId="5AB66237" w14:textId="304DB5DE" w:rsidR="5EB19722" w:rsidRDefault="5EB19722" w:rsidP="7FE4EE43">
      <w:pPr>
        <w:spacing w:after="160" w:line="257" w:lineRule="auto"/>
      </w:pPr>
      <w:r w:rsidRPr="7FE4EE43">
        <w:t>Qualora l'organizzazione e l'utilizzatore del PROCESSO concordino di effettuare una valutazione di conformità di seconda parte, quest'ultima deve essere effettuata in conformità a criteri condivisi tra le parti.</w:t>
      </w:r>
    </w:p>
    <w:p w14:paraId="1DE01B7A" w14:textId="6FC08348" w:rsidR="0094003F" w:rsidRDefault="5EB19722" w:rsidP="0094003F">
      <w:r w:rsidRPr="7FE4EE43">
        <w:t>Qualora l’organizzazione intenda ottenere una certificazione (valutazione della conformità di terza parte), si applicano i criteri riportati nell’Appendice</w:t>
      </w:r>
      <w:r w:rsidR="001309F0">
        <w:t xml:space="preserve"> </w:t>
      </w:r>
      <w:r w:rsidR="0094003F">
        <w:t>A.</w:t>
      </w:r>
    </w:p>
    <w:p w14:paraId="65342B8D" w14:textId="2E683B87" w:rsidR="005A47A8" w:rsidRPr="003128ED" w:rsidRDefault="0094003F" w:rsidP="001309F0">
      <w:pPr>
        <w:spacing w:line="240" w:lineRule="auto"/>
        <w:jc w:val="left"/>
      </w:pPr>
      <w:r>
        <w:br w:type="page"/>
      </w:r>
    </w:p>
    <w:p w14:paraId="2718D45A" w14:textId="77777777" w:rsidR="007027E2" w:rsidRDefault="00F57930" w:rsidP="007027E2">
      <w:pPr>
        <w:pStyle w:val="Titolo1"/>
        <w:numPr>
          <w:ilvl w:val="0"/>
          <w:numId w:val="0"/>
        </w:numPr>
        <w:spacing w:after="240"/>
        <w:ind w:left="432"/>
        <w:jc w:val="center"/>
        <w:rPr>
          <w:rFonts w:eastAsia="Arial" w:cs="Arial"/>
          <w:lang w:eastAsia="it-IT"/>
        </w:rPr>
      </w:pPr>
      <w:bookmarkStart w:id="49" w:name="_Toc201141710"/>
      <w:r w:rsidRPr="7FE4EE43">
        <w:rPr>
          <w:rFonts w:eastAsia="Arial" w:cs="Arial"/>
          <w:lang w:eastAsia="it-IT"/>
        </w:rPr>
        <w:lastRenderedPageBreak/>
        <w:t xml:space="preserve">APPENDICE A </w:t>
      </w:r>
      <w:r w:rsidR="001A3A63" w:rsidRPr="7FE4EE43">
        <w:rPr>
          <w:rFonts w:eastAsia="Arial" w:cs="Arial"/>
          <w:lang w:eastAsia="it-IT"/>
        </w:rPr>
        <w:t>–</w:t>
      </w:r>
      <w:r w:rsidRPr="7FE4EE43">
        <w:rPr>
          <w:rFonts w:eastAsia="Arial" w:cs="Arial"/>
          <w:lang w:eastAsia="it-IT"/>
        </w:rPr>
        <w:t xml:space="preserve"> </w:t>
      </w:r>
      <w:r w:rsidR="00414B01" w:rsidRPr="7FE4EE43">
        <w:rPr>
          <w:rFonts w:eastAsia="Arial" w:cs="Arial"/>
          <w:lang w:eastAsia="it-IT"/>
        </w:rPr>
        <w:t xml:space="preserve">VALUTAZIONE </w:t>
      </w:r>
      <w:r w:rsidR="349A052C" w:rsidRPr="7FE4EE43">
        <w:rPr>
          <w:rFonts w:eastAsia="Arial" w:cs="Arial"/>
          <w:lang w:eastAsia="it-IT"/>
        </w:rPr>
        <w:t xml:space="preserve">DI </w:t>
      </w:r>
      <w:r w:rsidR="00414B01" w:rsidRPr="7FE4EE43">
        <w:rPr>
          <w:rFonts w:eastAsia="Arial" w:cs="Arial"/>
          <w:lang w:eastAsia="it-IT"/>
        </w:rPr>
        <w:t xml:space="preserve">CONFORMITÀ </w:t>
      </w:r>
      <w:r w:rsidR="0EF41C3B" w:rsidRPr="7FE4EE43">
        <w:rPr>
          <w:rFonts w:eastAsia="Arial" w:cs="Arial"/>
          <w:lang w:eastAsia="it-IT"/>
        </w:rPr>
        <w:t>DI TERZA PARTE</w:t>
      </w:r>
      <w:bookmarkEnd w:id="49"/>
    </w:p>
    <w:p w14:paraId="398AD36A" w14:textId="4B48134A" w:rsidR="00CF6858" w:rsidRPr="003128ED" w:rsidRDefault="00414B01" w:rsidP="007027E2">
      <w:pPr>
        <w:pStyle w:val="Titolo1"/>
        <w:numPr>
          <w:ilvl w:val="0"/>
          <w:numId w:val="0"/>
        </w:numPr>
        <w:spacing w:after="240"/>
        <w:ind w:left="432"/>
        <w:jc w:val="center"/>
        <w:rPr>
          <w:rFonts w:eastAsia="Arial" w:cs="Arial"/>
          <w:lang w:eastAsia="it-IT"/>
        </w:rPr>
      </w:pPr>
      <w:bookmarkStart w:id="50" w:name="_Toc195288249"/>
      <w:bookmarkStart w:id="51" w:name="_Toc197938031"/>
      <w:bookmarkStart w:id="52" w:name="_Toc201141711"/>
      <w:r w:rsidRPr="7FE4EE43">
        <w:rPr>
          <w:rFonts w:eastAsia="Arial" w:cs="Arial"/>
          <w:lang w:eastAsia="it-IT"/>
        </w:rPr>
        <w:t>(normativa</w:t>
      </w:r>
      <w:r w:rsidR="001C31B1" w:rsidRPr="7FE4EE43">
        <w:rPr>
          <w:rFonts w:eastAsia="Arial" w:cs="Arial"/>
          <w:lang w:eastAsia="it-IT"/>
        </w:rPr>
        <w:t>)</w:t>
      </w:r>
      <w:bookmarkEnd w:id="50"/>
      <w:bookmarkEnd w:id="51"/>
      <w:bookmarkEnd w:id="52"/>
    </w:p>
    <w:p w14:paraId="66A1E31F" w14:textId="02FCFCF1" w:rsidR="7ADC567C" w:rsidRDefault="7ADC567C" w:rsidP="7FE4EE43">
      <w:pPr>
        <w:spacing w:after="160" w:line="257" w:lineRule="auto"/>
        <w:rPr>
          <w:rFonts w:eastAsia="Arial"/>
          <w:b/>
          <w:bCs/>
          <w:sz w:val="24"/>
          <w:szCs w:val="24"/>
        </w:rPr>
      </w:pPr>
      <w:r w:rsidRPr="7FE4EE43">
        <w:rPr>
          <w:rFonts w:eastAsia="Arial"/>
          <w:b/>
          <w:bCs/>
        </w:rPr>
        <w:t>A.1. Generalità</w:t>
      </w:r>
    </w:p>
    <w:p w14:paraId="2786AB06" w14:textId="6885B0CA" w:rsidR="5EC02522" w:rsidRDefault="5EC02522" w:rsidP="7FE4EE43">
      <w:pPr>
        <w:spacing w:before="240" w:after="240"/>
        <w:rPr>
          <w:rFonts w:eastAsia="Arial"/>
        </w:rPr>
      </w:pPr>
      <w:r w:rsidRPr="7FE4EE43">
        <w:rPr>
          <w:rFonts w:eastAsia="Arial"/>
        </w:rPr>
        <w:t>La presente appendice specifica i requisiti per la valutazione della conformità di terza parte del PROCESSO, secondo la UNI CEI EN ISO/IEC 17065:2012, il cui obiettivo è assicurare una sempre maggiore uniformità e trasparenza del processo di certificazione.</w:t>
      </w:r>
    </w:p>
    <w:p w14:paraId="79A570B4" w14:textId="21E7C6BD" w:rsidR="5EC02522" w:rsidRDefault="5EC02522" w:rsidP="7FE4EE43">
      <w:pPr>
        <w:spacing w:before="240" w:after="240"/>
        <w:rPr>
          <w:rFonts w:eastAsia="Arial"/>
          <w:sz w:val="20"/>
          <w:szCs w:val="20"/>
        </w:rPr>
      </w:pPr>
      <w:r w:rsidRPr="7FE4EE43">
        <w:rPr>
          <w:rFonts w:eastAsia="Arial"/>
          <w:sz w:val="20"/>
          <w:szCs w:val="20"/>
        </w:rPr>
        <w:t>NOTA: in aggiunta a quanto definito dalla UNI CEI EN ISO/IEC 17065:2012, è possibile fare riferimento anche alla UNI CEI EN ISO/IEC 17032, relativa alle linee guida ed esempi di uno schema di certificazione di processi, e alla ISO/IEC TR 17028, relativa alle linee guida ed esempi di schemi di certificazione per i servizi.</w:t>
      </w:r>
    </w:p>
    <w:p w14:paraId="44E55C55" w14:textId="75681CCC" w:rsidR="5C0BE5EB" w:rsidRDefault="5C0BE5EB" w:rsidP="7FE4EE43">
      <w:pPr>
        <w:spacing w:after="160" w:line="257" w:lineRule="auto"/>
        <w:rPr>
          <w:rFonts w:eastAsia="Arial"/>
          <w:b/>
          <w:bCs/>
          <w:sz w:val="24"/>
          <w:szCs w:val="24"/>
        </w:rPr>
      </w:pPr>
      <w:r w:rsidRPr="7FE4EE43">
        <w:rPr>
          <w:rFonts w:eastAsia="Arial"/>
          <w:b/>
          <w:bCs/>
        </w:rPr>
        <w:t>A.2. Riferimenti per l'accreditamento</w:t>
      </w:r>
    </w:p>
    <w:p w14:paraId="5A8C58B5" w14:textId="126F44F0" w:rsidR="352E215C" w:rsidRDefault="352E215C" w:rsidP="7FE4EE43">
      <w:pPr>
        <w:spacing w:before="240" w:after="240"/>
        <w:rPr>
          <w:rFonts w:eastAsia="Arial"/>
          <w:sz w:val="24"/>
          <w:szCs w:val="24"/>
        </w:rPr>
      </w:pPr>
      <w:r w:rsidRPr="7FE4EE43">
        <w:rPr>
          <w:rFonts w:eastAsia="Arial"/>
        </w:rPr>
        <w:t>I seguenti documenti sono citati nel testo in modo tale che alcuni o tutti i loro contenuti costituiscono requisiti della presente appendice. In relazione ai riferimenti datati, si applica esclusivamente l'edizione citata. Per i riferimenti non datati vale l'ultima edizione del documento di riferimento (compresi gli aggiornamenti)</w:t>
      </w:r>
      <w:r w:rsidR="00BF31A7">
        <w:rPr>
          <w:rFonts w:eastAsia="Arial"/>
        </w:rPr>
        <w:t>.</w:t>
      </w:r>
    </w:p>
    <w:p w14:paraId="55CDD4FE" w14:textId="77777777" w:rsidR="006A7227" w:rsidRDefault="006A7227" w:rsidP="006A7227">
      <w:pPr>
        <w:spacing w:before="240" w:after="240"/>
        <w:rPr>
          <w:rFonts w:eastAsia="Arial"/>
          <w:b/>
          <w:bCs/>
        </w:rPr>
      </w:pPr>
      <w:r w:rsidRPr="7FE4EE43">
        <w:rPr>
          <w:rFonts w:eastAsia="Arial"/>
          <w:b/>
          <w:bCs/>
        </w:rPr>
        <w:t>A.3. Requisiti per gli organismi di certificazione (</w:t>
      </w:r>
      <w:proofErr w:type="spellStart"/>
      <w:r w:rsidRPr="7FE4EE43">
        <w:rPr>
          <w:rFonts w:eastAsia="Arial"/>
          <w:b/>
          <w:bCs/>
        </w:rPr>
        <w:t>OdC</w:t>
      </w:r>
      <w:proofErr w:type="spellEnd"/>
      <w:r w:rsidRPr="7FE4EE43">
        <w:rPr>
          <w:rFonts w:eastAsia="Arial"/>
          <w:b/>
          <w:bCs/>
        </w:rPr>
        <w:t>)</w:t>
      </w:r>
    </w:p>
    <w:p w14:paraId="5470F6E1" w14:textId="77777777" w:rsidR="006A7227" w:rsidRDefault="006A7227" w:rsidP="006A7227">
      <w:pPr>
        <w:spacing w:before="240" w:after="240"/>
        <w:rPr>
          <w:rFonts w:eastAsia="Arial"/>
        </w:rPr>
      </w:pPr>
      <w:r w:rsidRPr="7FE4EE43">
        <w:rPr>
          <w:rFonts w:eastAsia="Arial"/>
        </w:rPr>
        <w:t>L’</w:t>
      </w:r>
      <w:proofErr w:type="spellStart"/>
      <w:r w:rsidRPr="7FE4EE43">
        <w:rPr>
          <w:rFonts w:eastAsia="Arial"/>
        </w:rPr>
        <w:t>OdC</w:t>
      </w:r>
      <w:proofErr w:type="spellEnd"/>
      <w:r w:rsidRPr="7FE4EE43">
        <w:rPr>
          <w:rFonts w:eastAsia="Arial"/>
        </w:rPr>
        <w:t xml:space="preserve"> che intende valutare la conformità del PROCESSO ai requisiti della presente norma deve applicare la UNI CEI EN ISO/IEC 17065:2012 e i requisiti aggiuntivi del prospetto A.1</w:t>
      </w:r>
      <w:r>
        <w:rPr>
          <w:rFonts w:eastAsia="Arial"/>
        </w:rPr>
        <w:t xml:space="preserve"> </w:t>
      </w:r>
      <w:r w:rsidRPr="001B29ED">
        <w:rPr>
          <w:rFonts w:eastAsia="Arial"/>
        </w:rPr>
        <w:t>o comunque la sua versione armonizzata internazionale.</w:t>
      </w:r>
    </w:p>
    <w:p w14:paraId="0CBBF114" w14:textId="77777777" w:rsidR="006A7227" w:rsidRDefault="006A7227" w:rsidP="006A7227">
      <w:pPr>
        <w:spacing w:before="240" w:after="240"/>
        <w:jc w:val="center"/>
        <w:rPr>
          <w:rFonts w:eastAsia="Arial"/>
          <w:b/>
          <w:bCs/>
        </w:rPr>
      </w:pPr>
      <w:r w:rsidRPr="7FE4EE43">
        <w:rPr>
          <w:rFonts w:eastAsia="Arial"/>
          <w:b/>
          <w:bCs/>
        </w:rPr>
        <w:t>Prospetto A.1 – Requisiti aggiuntivi alla UNI CEI EN ISO/IEC 17065:2012</w:t>
      </w:r>
    </w:p>
    <w:tbl>
      <w:tblPr>
        <w:tblStyle w:val="Grigliatabella"/>
        <w:tblW w:w="0" w:type="auto"/>
        <w:tblLayout w:type="fixed"/>
        <w:tblLook w:val="04A0" w:firstRow="1" w:lastRow="0" w:firstColumn="1" w:lastColumn="0" w:noHBand="0" w:noVBand="1"/>
      </w:tblPr>
      <w:tblGrid>
        <w:gridCol w:w="3090"/>
        <w:gridCol w:w="809"/>
        <w:gridCol w:w="5992"/>
      </w:tblGrid>
      <w:tr w:rsidR="006A7227" w14:paraId="443845E8" w14:textId="77777777" w:rsidTr="003E3336">
        <w:trPr>
          <w:trHeight w:val="300"/>
        </w:trPr>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211C4FDA" w14:textId="77777777" w:rsidR="006A7227" w:rsidRDefault="006A7227" w:rsidP="003E3336">
            <w:pPr>
              <w:rPr>
                <w:rFonts w:eastAsia="Arial"/>
                <w:b/>
                <w:bCs/>
              </w:rPr>
            </w:pPr>
            <w:r w:rsidRPr="7FE4EE43">
              <w:rPr>
                <w:rFonts w:eastAsia="Arial"/>
                <w:b/>
                <w:bCs/>
              </w:rPr>
              <w:t>Punti della UNI</w:t>
            </w:r>
            <w:r w:rsidRPr="7FE4EE43">
              <w:rPr>
                <w:rFonts w:eastAsia="Arial"/>
              </w:rPr>
              <w:t xml:space="preserve"> </w:t>
            </w:r>
            <w:r w:rsidRPr="7FE4EE43">
              <w:rPr>
                <w:rFonts w:eastAsia="Arial"/>
                <w:b/>
                <w:bCs/>
              </w:rPr>
              <w:t>CEI EN ISO/IEC 17065</w:t>
            </w:r>
          </w:p>
        </w:tc>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563031E4" w14:textId="77777777" w:rsidR="006A7227" w:rsidRDefault="006A7227" w:rsidP="003E3336">
            <w:pPr>
              <w:rPr>
                <w:rFonts w:eastAsia="Arial"/>
                <w:b/>
                <w:bCs/>
              </w:rPr>
            </w:pPr>
            <w:r w:rsidRPr="7FE4EE43">
              <w:rPr>
                <w:rFonts w:eastAsia="Arial"/>
                <w:b/>
                <w:bCs/>
              </w:rPr>
              <w:t xml:space="preserve"> </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11F6CD8D" w14:textId="77777777" w:rsidR="006A7227" w:rsidRDefault="006A7227" w:rsidP="003E3336">
            <w:pPr>
              <w:rPr>
                <w:rFonts w:eastAsia="Arial"/>
                <w:b/>
                <w:bCs/>
              </w:rPr>
            </w:pPr>
            <w:r w:rsidRPr="7FE4EE43">
              <w:rPr>
                <w:rFonts w:eastAsia="Arial"/>
                <w:b/>
                <w:bCs/>
              </w:rPr>
              <w:t>Requisiti aggiuntivi</w:t>
            </w:r>
          </w:p>
        </w:tc>
      </w:tr>
      <w:tr w:rsidR="006A7227" w14:paraId="70666A03" w14:textId="77777777" w:rsidTr="004022C9">
        <w:trPr>
          <w:trHeight w:val="300"/>
        </w:trPr>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3DDEAB26" w14:textId="77777777" w:rsidR="006A7227" w:rsidRDefault="006A7227" w:rsidP="003E3336">
            <w:pPr>
              <w:rPr>
                <w:rFonts w:eastAsia="Arial"/>
              </w:rPr>
            </w:pPr>
            <w:r w:rsidRPr="7FE4EE43">
              <w:rPr>
                <w:rFonts w:eastAsia="Arial"/>
              </w:rPr>
              <w:t>Punto 4. Requisiti generali</w:t>
            </w:r>
          </w:p>
        </w:tc>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2258B0CA" w14:textId="77777777" w:rsidR="006A7227" w:rsidRDefault="006A7227" w:rsidP="003E3336">
            <w:pPr>
              <w:rPr>
                <w:rFonts w:eastAsia="Arial"/>
                <w:b/>
                <w:bCs/>
              </w:rPr>
            </w:pPr>
            <w:r w:rsidRPr="7FE4EE43">
              <w:rPr>
                <w:rFonts w:eastAsia="Arial"/>
                <w:b/>
                <w:bCs/>
              </w:rPr>
              <w:t>a)</w:t>
            </w:r>
          </w:p>
        </w:tc>
        <w:tc>
          <w:tcPr>
            <w:tcW w:w="5992"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F830302" w14:textId="77777777" w:rsidR="006A7227" w:rsidRPr="00884ABA" w:rsidRDefault="006A7227" w:rsidP="003E3336">
            <w:pPr>
              <w:rPr>
                <w:rFonts w:eastAsia="Arial"/>
              </w:rPr>
            </w:pPr>
            <w:r w:rsidRPr="00884ABA">
              <w:rPr>
                <w:rFonts w:eastAsia="Arial"/>
              </w:rPr>
              <w:t>In aggiunta a quanto specificato al punto 4.1.3 “Utilizzo di licenze, certificati e marchi di conformità”, si applica quanto segue.</w:t>
            </w:r>
          </w:p>
          <w:p w14:paraId="20174476" w14:textId="77777777" w:rsidR="006A7227" w:rsidRPr="00884ABA" w:rsidRDefault="006A7227" w:rsidP="003E3336">
            <w:pPr>
              <w:rPr>
                <w:rFonts w:eastAsia="Arial"/>
                <w:b/>
                <w:bCs/>
              </w:rPr>
            </w:pPr>
            <w:r w:rsidRPr="00884ABA">
              <w:rPr>
                <w:rFonts w:eastAsia="Arial"/>
                <w:b/>
                <w:bCs/>
              </w:rPr>
              <w:t>Riferimento alla certificazione e utilizzo del Marchio UNI</w:t>
            </w:r>
          </w:p>
          <w:p w14:paraId="37AA2973" w14:textId="77777777" w:rsidR="006A7227" w:rsidRPr="00884ABA" w:rsidRDefault="006A7227" w:rsidP="003E3336">
            <w:pPr>
              <w:rPr>
                <w:rFonts w:eastAsia="Arial"/>
              </w:rPr>
            </w:pPr>
            <w:r w:rsidRPr="00884ABA">
              <w:rPr>
                <w:rFonts w:eastAsia="Arial"/>
              </w:rPr>
              <w:t>L’</w:t>
            </w:r>
            <w:proofErr w:type="spellStart"/>
            <w:r w:rsidRPr="00884ABA">
              <w:rPr>
                <w:rFonts w:eastAsia="Arial"/>
              </w:rPr>
              <w:t>OdC</w:t>
            </w:r>
            <w:proofErr w:type="spellEnd"/>
            <w:r w:rsidRPr="00884ABA">
              <w:rPr>
                <w:rFonts w:eastAsia="Arial"/>
              </w:rPr>
              <w:t xml:space="preserve"> deve concedere l'utilizzo del Marchio UNI per ogni PROCESSO certificato in conformità alla presente norma.</w:t>
            </w:r>
          </w:p>
          <w:p w14:paraId="1604FEAA" w14:textId="77777777" w:rsidR="006A7227" w:rsidRPr="00884ABA" w:rsidRDefault="006A7227" w:rsidP="003E3336">
            <w:pPr>
              <w:rPr>
                <w:rFonts w:eastAsia="Arial"/>
              </w:rPr>
            </w:pPr>
            <w:r w:rsidRPr="00884ABA">
              <w:rPr>
                <w:rFonts w:eastAsia="Arial"/>
              </w:rPr>
              <w:t>Per concedere il Marchio UNI all'organizzazione che fornisce il PROCESSO, l'</w:t>
            </w:r>
            <w:proofErr w:type="spellStart"/>
            <w:r w:rsidRPr="00884ABA">
              <w:rPr>
                <w:rFonts w:eastAsia="Arial"/>
              </w:rPr>
              <w:t>OdC</w:t>
            </w:r>
            <w:proofErr w:type="spellEnd"/>
            <w:r w:rsidRPr="00884ABA">
              <w:rPr>
                <w:rFonts w:eastAsia="Arial"/>
              </w:rPr>
              <w:t xml:space="preserve"> deve provvedere a sottoscrivere l’accordo di utilizzo del Marchio UNI “Servizi” e deve disporre di regole che consentano all’organizzazione di dichiarare la propria conformità ai requisiti della presente norma.</w:t>
            </w:r>
          </w:p>
          <w:p w14:paraId="665B24E6" w14:textId="77777777" w:rsidR="0066207A" w:rsidRPr="00884ABA" w:rsidRDefault="006A7227" w:rsidP="003E3336">
            <w:pPr>
              <w:rPr>
                <w:rFonts w:eastAsia="Arial"/>
              </w:rPr>
            </w:pPr>
            <w:r w:rsidRPr="00884ABA">
              <w:rPr>
                <w:rFonts w:eastAsia="Arial"/>
              </w:rPr>
              <w:t xml:space="preserve">La dichiarazione di conformità annessa al marchio deve contenere quanto segue: </w:t>
            </w:r>
          </w:p>
          <w:p w14:paraId="58AA8A16" w14:textId="57300040" w:rsidR="006A7227" w:rsidRPr="00884ABA" w:rsidRDefault="006A7227" w:rsidP="003E3336">
            <w:pPr>
              <w:rPr>
                <w:rFonts w:eastAsia="Arial"/>
                <w:i/>
                <w:iCs/>
              </w:rPr>
            </w:pPr>
            <w:r w:rsidRPr="00884ABA">
              <w:rPr>
                <w:rFonts w:eastAsia="Arial"/>
                <w:i/>
                <w:iCs/>
              </w:rPr>
              <w:t>Organizzazione … (ragione sociale) con PROCESSO certificato ai sensi della … (numero del presente documento normativo) dall’Organismo di Certificazione … (nome dell’</w:t>
            </w:r>
            <w:proofErr w:type="spellStart"/>
            <w:r w:rsidRPr="00884ABA">
              <w:rPr>
                <w:rFonts w:eastAsia="Arial"/>
                <w:i/>
                <w:iCs/>
              </w:rPr>
              <w:t>OdC</w:t>
            </w:r>
            <w:proofErr w:type="spellEnd"/>
            <w:r w:rsidRPr="00884ABA">
              <w:rPr>
                <w:rFonts w:eastAsia="Arial"/>
                <w:i/>
                <w:iCs/>
              </w:rPr>
              <w:t>) con Marchio UNI.</w:t>
            </w:r>
          </w:p>
          <w:p w14:paraId="21804F07" w14:textId="77777777" w:rsidR="006A7227" w:rsidRPr="00884ABA" w:rsidRDefault="006A7227" w:rsidP="003E3336">
            <w:pPr>
              <w:rPr>
                <w:rFonts w:eastAsia="Arial"/>
              </w:rPr>
            </w:pPr>
            <w:r w:rsidRPr="00884ABA">
              <w:rPr>
                <w:rFonts w:eastAsia="Arial"/>
              </w:rPr>
              <w:lastRenderedPageBreak/>
              <w:t>L’</w:t>
            </w:r>
            <w:proofErr w:type="spellStart"/>
            <w:r w:rsidRPr="00884ABA">
              <w:rPr>
                <w:rFonts w:eastAsia="Arial"/>
              </w:rPr>
              <w:t>OdC</w:t>
            </w:r>
            <w:proofErr w:type="spellEnd"/>
            <w:r w:rsidRPr="00884ABA">
              <w:rPr>
                <w:rFonts w:eastAsia="Arial"/>
              </w:rPr>
              <w:t xml:space="preserve"> deve pertanto disporre di regole per la concessione della licenza d’uso del proprio marchio di certificazione di processo che ne preveda l’utilizzo combinato al Marchio UNI “Servizi”.</w:t>
            </w:r>
          </w:p>
          <w:p w14:paraId="52647BA2" w14:textId="77777777" w:rsidR="006A7227" w:rsidRPr="00884ABA" w:rsidRDefault="006A7227" w:rsidP="003E3336">
            <w:pPr>
              <w:rPr>
                <w:rFonts w:eastAsia="Arial"/>
              </w:rPr>
            </w:pPr>
            <w:r w:rsidRPr="00884ABA">
              <w:rPr>
                <w:rFonts w:eastAsia="Arial"/>
              </w:rPr>
              <w:t>L’utilizzo combinato del marchio dell’</w:t>
            </w:r>
            <w:proofErr w:type="spellStart"/>
            <w:r w:rsidRPr="00884ABA">
              <w:rPr>
                <w:rFonts w:eastAsia="Arial"/>
              </w:rPr>
              <w:t>OdC</w:t>
            </w:r>
            <w:proofErr w:type="spellEnd"/>
            <w:r w:rsidRPr="00884ABA">
              <w:rPr>
                <w:rFonts w:eastAsia="Arial"/>
              </w:rPr>
              <w:t xml:space="preserve"> e del Marchio UNI “Servizi” deve essere permesso a partire dalla data di emissione del certificato da parte dell’organismo.</w:t>
            </w:r>
          </w:p>
          <w:p w14:paraId="73E7E99D" w14:textId="77777777" w:rsidR="006A7227" w:rsidRPr="00884ABA" w:rsidRDefault="006A7227" w:rsidP="003E3336">
            <w:pPr>
              <w:rPr>
                <w:rFonts w:eastAsia="Arial"/>
                <w:sz w:val="20"/>
                <w:szCs w:val="20"/>
              </w:rPr>
            </w:pPr>
            <w:r w:rsidRPr="00884ABA">
              <w:rPr>
                <w:rFonts w:eastAsia="Arial"/>
                <w:sz w:val="20"/>
                <w:szCs w:val="20"/>
              </w:rPr>
              <w:t>NOTA. Il Marchio di conformità UNI “Servizi” ha lo scopo di attestare che i requisiti del PROCESSO certificato siano stabiliti dall’UNI tramite la pubblicazione di norme o prassi di riferimento e che l’</w:t>
            </w:r>
            <w:proofErr w:type="spellStart"/>
            <w:r w:rsidRPr="00884ABA">
              <w:rPr>
                <w:rFonts w:eastAsia="Arial"/>
                <w:sz w:val="20"/>
                <w:szCs w:val="20"/>
              </w:rPr>
              <w:t>OdC</w:t>
            </w:r>
            <w:proofErr w:type="spellEnd"/>
            <w:r w:rsidRPr="00884ABA">
              <w:rPr>
                <w:rFonts w:eastAsia="Arial"/>
                <w:sz w:val="20"/>
                <w:szCs w:val="20"/>
              </w:rPr>
              <w:t xml:space="preserve"> operi sotto accreditamento.</w:t>
            </w:r>
          </w:p>
          <w:p w14:paraId="22FA1E3A" w14:textId="77777777" w:rsidR="006A7227" w:rsidRPr="00884ABA" w:rsidRDefault="006A7227" w:rsidP="003E3336">
            <w:pPr>
              <w:rPr>
                <w:rFonts w:eastAsia="Arial"/>
              </w:rPr>
            </w:pPr>
            <w:r w:rsidRPr="00884ABA">
              <w:rPr>
                <w:rFonts w:eastAsia="Arial"/>
              </w:rPr>
              <w:t xml:space="preserve">L’Organismo deve essere in possesso di specifico accreditamento per il presente ambito di valutazione della conformità. All’atto della stipula dell’accordo con UNI, è accettabile che l’iter sia in corso ma l’uso del marchio potrà avvenire solo ad accreditamento concesso.   </w:t>
            </w:r>
          </w:p>
        </w:tc>
      </w:tr>
      <w:tr w:rsidR="006A7227" w14:paraId="7FC3A9C0" w14:textId="77777777" w:rsidTr="008A5EE5">
        <w:trPr>
          <w:trHeight w:val="300"/>
        </w:trPr>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23FDF837" w14:textId="77777777" w:rsidR="006A7227" w:rsidRDefault="006A7227" w:rsidP="003E3336">
            <w:pPr>
              <w:rPr>
                <w:rFonts w:eastAsia="Arial"/>
              </w:rPr>
            </w:pPr>
            <w:r w:rsidRPr="7FE4EE43">
              <w:rPr>
                <w:rFonts w:eastAsia="Arial"/>
              </w:rPr>
              <w:lastRenderedPageBreak/>
              <w:t>Punto 5. Requisiti strutturali</w:t>
            </w:r>
          </w:p>
        </w:tc>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61282B06" w14:textId="77777777" w:rsidR="006A7227" w:rsidRDefault="006A7227" w:rsidP="003E3336">
            <w:pPr>
              <w:rPr>
                <w:rFonts w:eastAsia="Arial"/>
                <w:b/>
                <w:bCs/>
              </w:rPr>
            </w:pPr>
            <w:r w:rsidRPr="7FE4EE43">
              <w:rPr>
                <w:rFonts w:eastAsia="Arial"/>
                <w:b/>
                <w:bCs/>
              </w:rPr>
              <w:t xml:space="preserve"> </w:t>
            </w:r>
          </w:p>
        </w:tc>
        <w:tc>
          <w:tcPr>
            <w:tcW w:w="5992"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D07653C" w14:textId="77777777" w:rsidR="006A7227" w:rsidRPr="005A713D" w:rsidRDefault="006A7227" w:rsidP="003E3336">
            <w:pPr>
              <w:spacing w:line="240" w:lineRule="auto"/>
              <w:rPr>
                <w:rFonts w:eastAsia="Arial"/>
                <w:highlight w:val="cyan"/>
              </w:rPr>
            </w:pPr>
            <w:r w:rsidRPr="008A5EE5">
              <w:rPr>
                <w:rFonts w:eastAsia="Arial"/>
              </w:rPr>
              <w:t xml:space="preserve">Si applica integralmente la norma UNI CEI EN ISO/IEC 17065. </w:t>
            </w:r>
          </w:p>
        </w:tc>
      </w:tr>
      <w:tr w:rsidR="006A7227" w14:paraId="72FABCC9" w14:textId="77777777" w:rsidTr="003E3336">
        <w:trPr>
          <w:trHeight w:val="45"/>
        </w:trPr>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10542DBA" w14:textId="77777777" w:rsidR="006A7227" w:rsidRDefault="006A7227" w:rsidP="003E3336">
            <w:pPr>
              <w:rPr>
                <w:rFonts w:eastAsia="Arial"/>
              </w:rPr>
            </w:pPr>
            <w:r w:rsidRPr="7FE4EE43">
              <w:rPr>
                <w:rFonts w:eastAsia="Arial"/>
              </w:rPr>
              <w:t>Punto 6. Requisiti per le risorse</w:t>
            </w:r>
          </w:p>
        </w:tc>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086AFF88" w14:textId="77777777" w:rsidR="006A7227" w:rsidRDefault="006A7227" w:rsidP="003E3336">
            <w:pPr>
              <w:rPr>
                <w:rFonts w:eastAsia="Arial"/>
                <w:b/>
                <w:bCs/>
              </w:rPr>
            </w:pPr>
            <w:r w:rsidRPr="7FE4EE43">
              <w:rPr>
                <w:rFonts w:eastAsia="Arial"/>
                <w:b/>
                <w:bCs/>
              </w:rPr>
              <w:t>b)</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0BD9B869" w14:textId="191ECE49" w:rsidR="006A7227" w:rsidRDefault="006A7227" w:rsidP="003E3336">
            <w:pPr>
              <w:rPr>
                <w:rFonts w:eastAsia="Arial"/>
              </w:rPr>
            </w:pPr>
            <w:r w:rsidRPr="7FE4EE43">
              <w:rPr>
                <w:rFonts w:eastAsia="Arial"/>
              </w:rPr>
              <w:t xml:space="preserve">Si </w:t>
            </w:r>
            <w:r w:rsidR="008A5EE5" w:rsidRPr="008A5EE5">
              <w:rPr>
                <w:rFonts w:eastAsia="Arial"/>
                <w:strike/>
              </w:rPr>
              <w:t>i</w:t>
            </w:r>
            <w:r w:rsidRPr="008A5EE5">
              <w:rPr>
                <w:rFonts w:eastAsia="Arial"/>
              </w:rPr>
              <w:t>ntegrano</w:t>
            </w:r>
            <w:r w:rsidRPr="00CA0951">
              <w:rPr>
                <w:rFonts w:eastAsia="Arial"/>
              </w:rPr>
              <w:t xml:space="preserve"> </w:t>
            </w:r>
            <w:r w:rsidRPr="7FE4EE43">
              <w:rPr>
                <w:rFonts w:eastAsia="Arial"/>
              </w:rPr>
              <w:t>i punti 6.1.2.1 a) e b) del punto 6.1.2 “Gestione della competenza del personale coinvolto nel processo di certificazione”,</w:t>
            </w:r>
            <w:r>
              <w:rPr>
                <w:rFonts w:eastAsia="Arial"/>
              </w:rPr>
              <w:t xml:space="preserve"> </w:t>
            </w:r>
            <w:r w:rsidRPr="008A5EE5">
              <w:rPr>
                <w:rFonts w:eastAsia="Arial"/>
              </w:rPr>
              <w:t>della UNI CEI EN ISO/IEC 17065</w:t>
            </w:r>
            <w:r>
              <w:rPr>
                <w:rFonts w:eastAsia="Arial"/>
              </w:rPr>
              <w:t>,</w:t>
            </w:r>
            <w:r w:rsidRPr="7FE4EE43">
              <w:rPr>
                <w:rFonts w:eastAsia="Arial"/>
              </w:rPr>
              <w:t xml:space="preserve"> in conformità a quanto segue.</w:t>
            </w:r>
          </w:p>
          <w:p w14:paraId="3A8449DE" w14:textId="77777777" w:rsidR="006A7227" w:rsidRDefault="006A7227" w:rsidP="003E3336">
            <w:pPr>
              <w:rPr>
                <w:rFonts w:eastAsia="Arial"/>
                <w:b/>
                <w:bCs/>
              </w:rPr>
            </w:pPr>
            <w:r w:rsidRPr="7FE4EE43">
              <w:rPr>
                <w:rFonts w:eastAsia="Arial"/>
                <w:b/>
                <w:bCs/>
              </w:rPr>
              <w:t>Criteri di competenza del Gruppo di Audit</w:t>
            </w:r>
          </w:p>
          <w:p w14:paraId="0012AC8F" w14:textId="77777777" w:rsidR="006A7227" w:rsidRDefault="006A7227" w:rsidP="003E3336">
            <w:pPr>
              <w:rPr>
                <w:rFonts w:eastAsia="Arial"/>
              </w:rPr>
            </w:pPr>
            <w:r w:rsidRPr="7FE4EE43">
              <w:rPr>
                <w:rFonts w:eastAsia="Arial"/>
              </w:rPr>
              <w:t>Nel gruppo di audit le competenze si ritengono soddisfatte quando, tenendo conto delle competenze complessive del gruppo (auditor ed eventuali esperti/e tecnici/che) sia presente:</w:t>
            </w:r>
          </w:p>
          <w:p w14:paraId="6772946E" w14:textId="26FB7FE2" w:rsidR="006A7227" w:rsidRDefault="006A7227" w:rsidP="003E3336">
            <w:pPr>
              <w:ind w:left="383" w:hanging="383"/>
              <w:rPr>
                <w:rFonts w:eastAsia="Arial"/>
              </w:rPr>
            </w:pPr>
            <w:r w:rsidRPr="7FE4EE43">
              <w:rPr>
                <w:rFonts w:eastAsia="Arial"/>
              </w:rPr>
              <w:t>1.conoscenza della UNI CEI EN ISO/IEC 17021-1</w:t>
            </w:r>
            <w:r w:rsidR="00A2750D">
              <w:rPr>
                <w:rFonts w:eastAsia="Arial"/>
              </w:rPr>
              <w:t>:2015</w:t>
            </w:r>
            <w:r w:rsidRPr="7FE4EE43">
              <w:rPr>
                <w:rFonts w:eastAsia="Arial"/>
              </w:rPr>
              <w:t xml:space="preserve"> e della UNI CEI EN ISO/IEC 17065, acquisita tramite formazione;</w:t>
            </w:r>
          </w:p>
          <w:p w14:paraId="0D09CCAD" w14:textId="76959BC4" w:rsidR="00263E19" w:rsidRDefault="006A7227" w:rsidP="00692962">
            <w:pPr>
              <w:ind w:left="383" w:hanging="383"/>
              <w:rPr>
                <w:rFonts w:eastAsia="Arial"/>
              </w:rPr>
            </w:pPr>
            <w:r w:rsidRPr="7FE4EE43">
              <w:rPr>
                <w:rFonts w:eastAsia="Arial"/>
              </w:rPr>
              <w:t>2.conoscenza dei principi, delle prassi e delle tecniche di audit, in conformità alla UNI EN ISO 19011 [ED EVENTUALI ALTRE NORME TECNICHE], acquisita tramite formazione;</w:t>
            </w:r>
          </w:p>
          <w:p w14:paraId="762A8CD7" w14:textId="77777777" w:rsidR="00692962" w:rsidRDefault="00692962" w:rsidP="00692962">
            <w:pPr>
              <w:ind w:left="383" w:hanging="383"/>
              <w:rPr>
                <w:rFonts w:eastAsia="Arial"/>
              </w:rPr>
            </w:pPr>
          </w:p>
          <w:p w14:paraId="19080383" w14:textId="0CC181CD" w:rsidR="006A7227" w:rsidRPr="00263E19" w:rsidRDefault="00263E19" w:rsidP="000665DC">
            <w:pPr>
              <w:rPr>
                <w:rFonts w:eastAsia="Arial"/>
                <w:strike/>
              </w:rPr>
            </w:pPr>
            <w:r>
              <w:rPr>
                <w:rFonts w:eastAsia="Arial"/>
              </w:rPr>
              <w:t>3</w:t>
            </w:r>
            <w:r w:rsidR="006A7227" w:rsidRPr="7FE4EE43">
              <w:rPr>
                <w:rFonts w:eastAsia="Arial"/>
              </w:rPr>
              <w:t>.</w:t>
            </w:r>
            <w:r w:rsidR="006A7227" w:rsidRPr="000665DC">
              <w:rPr>
                <w:rFonts w:eastAsia="Arial"/>
              </w:rPr>
              <w:t xml:space="preserve">competenza tecnica specifica della presente prassi che comprenda la documentata conoscenza della normativa di riferimento che regola la gestione dei finanziamenti pubblici da parte delle Pubbliche Amministrazioni (PA). Si riporta un elenco non esaustivo: </w:t>
            </w:r>
          </w:p>
          <w:p w14:paraId="637B670B" w14:textId="77777777" w:rsidR="006A7227" w:rsidRPr="000665DC" w:rsidRDefault="006A7227" w:rsidP="003E3336">
            <w:pPr>
              <w:numPr>
                <w:ilvl w:val="0"/>
                <w:numId w:val="20"/>
              </w:numPr>
              <w:spacing w:line="240" w:lineRule="auto"/>
              <w:jc w:val="left"/>
              <w:rPr>
                <w:rFonts w:eastAsia="Arial" w:cs="Lohit Hindi"/>
                <w:bCs/>
                <w:color w:val="000000"/>
              </w:rPr>
            </w:pPr>
            <w:r w:rsidRPr="000665DC">
              <w:rPr>
                <w:rFonts w:eastAsia="Arial" w:cs="Lohit Hindi"/>
                <w:bCs/>
                <w:color w:val="000000"/>
              </w:rPr>
              <w:t xml:space="preserve">Decreto Legislativo n. 36/2023 Codice dei contratti pubblici e </w:t>
            </w:r>
            <w:proofErr w:type="spellStart"/>
            <w:r w:rsidRPr="000665DC">
              <w:rPr>
                <w:rFonts w:eastAsia="Arial" w:cs="Lohit Hindi"/>
                <w:bCs/>
                <w:color w:val="000000"/>
              </w:rPr>
              <w:t>s.m.i.</w:t>
            </w:r>
            <w:proofErr w:type="spellEnd"/>
          </w:p>
          <w:p w14:paraId="102D0284" w14:textId="77777777" w:rsidR="006A7227" w:rsidRPr="000665DC" w:rsidRDefault="006A7227" w:rsidP="003E3336">
            <w:pPr>
              <w:spacing w:line="240" w:lineRule="auto"/>
              <w:ind w:left="720"/>
              <w:jc w:val="left"/>
              <w:rPr>
                <w:rFonts w:eastAsia="Times New Roman"/>
                <w:b/>
                <w:bCs/>
                <w:sz w:val="20"/>
                <w:szCs w:val="20"/>
                <w:lang w:eastAsia="en-US"/>
              </w:rPr>
            </w:pPr>
            <w:r w:rsidRPr="000665DC">
              <w:rPr>
                <w:rFonts w:eastAsia="Arial"/>
                <w:bCs/>
              </w:rPr>
              <w:t xml:space="preserve"> </w:t>
            </w:r>
          </w:p>
          <w:p w14:paraId="29C63C8C" w14:textId="77777777" w:rsidR="006A7227" w:rsidRPr="000665DC" w:rsidRDefault="006A7227" w:rsidP="003E3336">
            <w:pPr>
              <w:pStyle w:val="Paragrafoelenco"/>
              <w:numPr>
                <w:ilvl w:val="0"/>
                <w:numId w:val="20"/>
              </w:numPr>
              <w:rPr>
                <w:rFonts w:eastAsia="Arial"/>
                <w:b w:val="0"/>
                <w:bCs/>
              </w:rPr>
            </w:pPr>
            <w:r w:rsidRPr="000665DC">
              <w:rPr>
                <w:rFonts w:eastAsia="Arial"/>
                <w:b w:val="0"/>
                <w:bCs/>
              </w:rPr>
              <w:t xml:space="preserve">Decreto Legislativo n. 33/2013; </w:t>
            </w:r>
          </w:p>
          <w:p w14:paraId="350DA259" w14:textId="77777777" w:rsidR="006A7227" w:rsidRPr="000665DC" w:rsidRDefault="006A7227" w:rsidP="003E3336">
            <w:pPr>
              <w:pStyle w:val="Paragrafoelenco"/>
              <w:numPr>
                <w:ilvl w:val="0"/>
                <w:numId w:val="20"/>
              </w:numPr>
              <w:rPr>
                <w:rFonts w:eastAsia="Arial"/>
                <w:b w:val="0"/>
                <w:bCs/>
              </w:rPr>
            </w:pPr>
            <w:r w:rsidRPr="000665DC">
              <w:rPr>
                <w:rFonts w:eastAsia="Arial"/>
                <w:b w:val="0"/>
                <w:bCs/>
              </w:rPr>
              <w:t>Legge n. 241/1990</w:t>
            </w:r>
          </w:p>
          <w:p w14:paraId="671A01DA" w14:textId="77777777" w:rsidR="006A7227" w:rsidRPr="000665DC" w:rsidRDefault="006A7227" w:rsidP="003E3336">
            <w:pPr>
              <w:pStyle w:val="Paragrafoelenco"/>
              <w:numPr>
                <w:ilvl w:val="0"/>
                <w:numId w:val="20"/>
              </w:numPr>
              <w:rPr>
                <w:rFonts w:eastAsia="Arial"/>
                <w:b w:val="0"/>
                <w:bCs/>
              </w:rPr>
            </w:pPr>
            <w:r w:rsidRPr="000665DC">
              <w:rPr>
                <w:rFonts w:eastAsia="Arial"/>
                <w:b w:val="0"/>
                <w:bCs/>
              </w:rPr>
              <w:t xml:space="preserve">Legge n. 196/2009; </w:t>
            </w:r>
          </w:p>
          <w:p w14:paraId="6BC5FA02" w14:textId="77777777" w:rsidR="006A7227" w:rsidRPr="000665DC" w:rsidRDefault="006A7227" w:rsidP="003E3336">
            <w:pPr>
              <w:pStyle w:val="Paragrafoelenco"/>
              <w:numPr>
                <w:ilvl w:val="0"/>
                <w:numId w:val="20"/>
              </w:numPr>
              <w:rPr>
                <w:rFonts w:eastAsia="Arial"/>
                <w:b w:val="0"/>
                <w:bCs/>
              </w:rPr>
            </w:pPr>
            <w:r w:rsidRPr="000665DC">
              <w:rPr>
                <w:rFonts w:eastAsia="Arial"/>
                <w:b w:val="0"/>
                <w:bCs/>
              </w:rPr>
              <w:t xml:space="preserve">Decreto Legislativo n. 165/2001; </w:t>
            </w:r>
          </w:p>
          <w:p w14:paraId="25151B8F" w14:textId="77777777" w:rsidR="006A7227" w:rsidRPr="000665DC" w:rsidRDefault="006A7227" w:rsidP="003E3336">
            <w:pPr>
              <w:pStyle w:val="Paragrafoelenco"/>
              <w:numPr>
                <w:ilvl w:val="0"/>
                <w:numId w:val="20"/>
              </w:numPr>
              <w:rPr>
                <w:rFonts w:eastAsia="Arial"/>
                <w:b w:val="0"/>
                <w:bCs/>
              </w:rPr>
            </w:pPr>
            <w:r w:rsidRPr="000665DC">
              <w:rPr>
                <w:rFonts w:eastAsia="Arial"/>
                <w:b w:val="0"/>
                <w:bCs/>
              </w:rPr>
              <w:lastRenderedPageBreak/>
              <w:t xml:space="preserve">Direttive presidenziali sull'azione amministrativa emesse della Corte dei conti; </w:t>
            </w:r>
          </w:p>
          <w:p w14:paraId="35CF081A" w14:textId="77777777" w:rsidR="006A7227" w:rsidRPr="000665DC" w:rsidRDefault="006A7227" w:rsidP="003E3336">
            <w:pPr>
              <w:pStyle w:val="Paragrafoelenco"/>
              <w:numPr>
                <w:ilvl w:val="0"/>
                <w:numId w:val="20"/>
              </w:numPr>
              <w:rPr>
                <w:rFonts w:eastAsia="Arial"/>
                <w:b w:val="0"/>
                <w:bCs/>
              </w:rPr>
            </w:pPr>
            <w:r w:rsidRPr="000665DC">
              <w:rPr>
                <w:rFonts w:eastAsia="Arial"/>
                <w:b w:val="0"/>
                <w:bCs/>
              </w:rPr>
              <w:t xml:space="preserve">Circolari e Istruzioni Operative della Ragioneria Generale dello Stato, </w:t>
            </w:r>
            <w:proofErr w:type="spellStart"/>
            <w:r w:rsidRPr="000665DC">
              <w:rPr>
                <w:rFonts w:eastAsia="Arial"/>
                <w:b w:val="0"/>
                <w:bCs/>
              </w:rPr>
              <w:t>ecc</w:t>
            </w:r>
            <w:proofErr w:type="spellEnd"/>
            <w:r w:rsidRPr="000665DC">
              <w:rPr>
                <w:rFonts w:eastAsia="Arial"/>
                <w:b w:val="0"/>
                <w:bCs/>
              </w:rPr>
              <w:t>…</w:t>
            </w:r>
          </w:p>
          <w:p w14:paraId="6276AE67" w14:textId="77777777" w:rsidR="006A7227" w:rsidRPr="000665DC" w:rsidRDefault="006A7227" w:rsidP="003E3336">
            <w:pPr>
              <w:pStyle w:val="Paragrafoelenco"/>
              <w:numPr>
                <w:ilvl w:val="0"/>
                <w:numId w:val="20"/>
              </w:numPr>
              <w:rPr>
                <w:rFonts w:eastAsia="Arial"/>
                <w:b w:val="0"/>
                <w:bCs/>
              </w:rPr>
            </w:pPr>
            <w:r w:rsidRPr="000665DC">
              <w:rPr>
                <w:rFonts w:eastAsia="Arial"/>
                <w:b w:val="0"/>
                <w:bCs/>
              </w:rPr>
              <w:t xml:space="preserve">Normativa in applicazione del Documento di Programmazione Economico-Finanziaria – DPEF. </w:t>
            </w:r>
          </w:p>
          <w:p w14:paraId="7E0D80E7" w14:textId="77777777" w:rsidR="006A7227" w:rsidRPr="000665DC" w:rsidRDefault="006A7227" w:rsidP="003E3336">
            <w:pPr>
              <w:rPr>
                <w:rFonts w:eastAsia="Arial"/>
              </w:rPr>
            </w:pPr>
            <w:r w:rsidRPr="000665DC">
              <w:rPr>
                <w:rFonts w:eastAsia="Arial"/>
              </w:rPr>
              <w:t xml:space="preserve">È inoltre condizione indispensabile la dimostrata conoscenza: </w:t>
            </w:r>
          </w:p>
          <w:p w14:paraId="671715CD" w14:textId="77777777" w:rsidR="006A7227" w:rsidRPr="000665DC" w:rsidRDefault="006A7227" w:rsidP="003E3336">
            <w:pPr>
              <w:pStyle w:val="Paragrafoelenco"/>
              <w:numPr>
                <w:ilvl w:val="0"/>
                <w:numId w:val="20"/>
              </w:numPr>
              <w:rPr>
                <w:rFonts w:eastAsia="Arial"/>
                <w:b w:val="0"/>
              </w:rPr>
            </w:pPr>
            <w:r w:rsidRPr="000665DC">
              <w:rPr>
                <w:rFonts w:eastAsia="Arial"/>
                <w:b w:val="0"/>
              </w:rPr>
              <w:t>della Prassi di Riferimento UNI/</w:t>
            </w:r>
            <w:proofErr w:type="spellStart"/>
            <w:r w:rsidRPr="000665DC">
              <w:rPr>
                <w:rFonts w:eastAsia="Arial"/>
                <w:b w:val="0"/>
              </w:rPr>
              <w:t>PdR</w:t>
            </w:r>
            <w:proofErr w:type="spellEnd"/>
            <w:r w:rsidRPr="000665DC">
              <w:rPr>
                <w:rFonts w:eastAsia="Arial"/>
                <w:b w:val="0"/>
              </w:rPr>
              <w:t xml:space="preserve"> 125:2022; </w:t>
            </w:r>
          </w:p>
          <w:p w14:paraId="7BAC4B49" w14:textId="77777777" w:rsidR="006A7227" w:rsidRPr="000665DC" w:rsidRDefault="006A7227" w:rsidP="003E3336">
            <w:pPr>
              <w:pStyle w:val="Paragrafoelenco"/>
              <w:numPr>
                <w:ilvl w:val="0"/>
                <w:numId w:val="20"/>
              </w:numPr>
              <w:rPr>
                <w:rFonts w:eastAsia="Arial"/>
                <w:b w:val="0"/>
              </w:rPr>
            </w:pPr>
            <w:r w:rsidRPr="000665DC">
              <w:rPr>
                <w:rFonts w:eastAsia="Arial"/>
                <w:b w:val="0"/>
              </w:rPr>
              <w:t>della normativa che disciplina il gender budgeting (es. Decreto Legislativo n. 116/2018, Decreto del Presidente del Consiglio dei Ministri del 16 giugno 2017 ecc..)</w:t>
            </w:r>
          </w:p>
          <w:p w14:paraId="1BD12C5A" w14:textId="77777777" w:rsidR="006A7227" w:rsidRPr="007E7B37" w:rsidRDefault="006A7227" w:rsidP="003E3336">
            <w:pPr>
              <w:rPr>
                <w:rFonts w:eastAsia="Arial"/>
              </w:rPr>
            </w:pPr>
            <w:r w:rsidRPr="000665DC">
              <w:rPr>
                <w:rFonts w:eastAsia="Arial"/>
              </w:rPr>
              <w:t>Per ulteriori dettagli si rimanda a quanto riportato anche nella presente prassi al § 2 “Riferimenti normativi e legislativi”.</w:t>
            </w:r>
            <w:r w:rsidRPr="007E7B37">
              <w:rPr>
                <w:rFonts w:eastAsia="Arial"/>
              </w:rPr>
              <w:t xml:space="preserve"> </w:t>
            </w:r>
          </w:p>
          <w:p w14:paraId="429F43D9" w14:textId="77777777" w:rsidR="006A7227" w:rsidRDefault="006A7227" w:rsidP="003E3336">
            <w:pPr>
              <w:rPr>
                <w:rFonts w:eastAsia="Arial"/>
              </w:rPr>
            </w:pPr>
            <w:r w:rsidRPr="7FE4EE43">
              <w:rPr>
                <w:rFonts w:eastAsia="Arial"/>
              </w:rPr>
              <w:t>La presenza di altri/e esperti/e non è obbligatoria ma eventualmente necessaria per completare le competenze del gruppo di audit se non già soddisfatte.</w:t>
            </w:r>
          </w:p>
        </w:tc>
      </w:tr>
      <w:tr w:rsidR="006A7227" w14:paraId="3F9D8C08" w14:textId="77777777" w:rsidTr="003E3336">
        <w:trPr>
          <w:trHeight w:val="300"/>
        </w:trPr>
        <w:tc>
          <w:tcPr>
            <w:tcW w:w="309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18296CDF" w14:textId="77777777" w:rsidR="006A7227" w:rsidRDefault="006A7227" w:rsidP="003E3336">
            <w:pPr>
              <w:rPr>
                <w:rFonts w:eastAsia="Arial"/>
              </w:rPr>
            </w:pPr>
            <w:r w:rsidRPr="7FE4EE43">
              <w:rPr>
                <w:rFonts w:eastAsia="Arial"/>
              </w:rPr>
              <w:lastRenderedPageBreak/>
              <w:t>Punto 7. Requisiti di processo</w:t>
            </w:r>
          </w:p>
        </w:tc>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0842789D" w14:textId="77777777" w:rsidR="006A7227" w:rsidRDefault="006A7227" w:rsidP="003E3336">
            <w:pPr>
              <w:rPr>
                <w:rFonts w:eastAsia="Arial"/>
                <w:b/>
                <w:bCs/>
              </w:rPr>
            </w:pPr>
            <w:r w:rsidRPr="7FE4EE43">
              <w:rPr>
                <w:rFonts w:eastAsia="Arial"/>
                <w:b/>
                <w:bCs/>
              </w:rPr>
              <w:t>c)</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7919CB17" w14:textId="77777777" w:rsidR="006A7227" w:rsidRDefault="006A7227" w:rsidP="003E3336">
            <w:pPr>
              <w:rPr>
                <w:rFonts w:eastAsia="Arial"/>
              </w:rPr>
            </w:pPr>
            <w:r w:rsidRPr="7FE4EE43">
              <w:rPr>
                <w:rFonts w:eastAsia="Arial"/>
              </w:rPr>
              <w:t>Per applicare il punto 7.2 “Domanda”, si deve:</w:t>
            </w:r>
          </w:p>
          <w:p w14:paraId="6D912A10" w14:textId="15F2A3FB" w:rsidR="006A7227" w:rsidRPr="000665DC" w:rsidRDefault="006A7227" w:rsidP="003E3336">
            <w:pPr>
              <w:pStyle w:val="Paragrafoelenco"/>
              <w:numPr>
                <w:ilvl w:val="0"/>
                <w:numId w:val="22"/>
              </w:numPr>
              <w:spacing w:after="0"/>
              <w:rPr>
                <w:rFonts w:eastAsia="Arial" w:cs="Arial"/>
              </w:rPr>
            </w:pPr>
            <w:r w:rsidRPr="7FE4EE43">
              <w:rPr>
                <w:rFonts w:eastAsia="Arial" w:cs="Arial"/>
              </w:rPr>
              <w:t>specificare</w:t>
            </w:r>
            <w:r w:rsidR="000665DC">
              <w:rPr>
                <w:rFonts w:eastAsia="Arial" w:cs="Arial"/>
              </w:rPr>
              <w:t xml:space="preserve"> </w:t>
            </w:r>
            <w:r w:rsidRPr="000665DC">
              <w:rPr>
                <w:rFonts w:eastAsia="Arial" w:cs="Arial"/>
              </w:rPr>
              <w:t>l’entità in termini d’importo assegnato/da assegnare della procedura d’investimento (processo) da certificare;</w:t>
            </w:r>
          </w:p>
          <w:p w14:paraId="750799A0" w14:textId="72C98629" w:rsidR="006A7227" w:rsidRDefault="006A7227" w:rsidP="003E3336">
            <w:pPr>
              <w:pStyle w:val="Paragrafoelenco"/>
              <w:numPr>
                <w:ilvl w:val="0"/>
                <w:numId w:val="22"/>
              </w:numPr>
              <w:spacing w:after="0"/>
              <w:rPr>
                <w:rFonts w:eastAsia="Arial" w:cs="Arial"/>
              </w:rPr>
            </w:pPr>
            <w:r w:rsidRPr="000665DC">
              <w:rPr>
                <w:rFonts w:eastAsia="Arial" w:cs="Arial"/>
              </w:rPr>
              <w:t>specificare la tipologia di PA e l’eventuale classe di popolazione a cui</w:t>
            </w:r>
            <w:r w:rsidRPr="7FE4EE43">
              <w:rPr>
                <w:rFonts w:eastAsia="Arial" w:cs="Arial"/>
              </w:rPr>
              <w:t xml:space="preserve"> è rilasciata la certificazione.</w:t>
            </w:r>
          </w:p>
        </w:tc>
      </w:tr>
      <w:tr w:rsidR="006A7227" w14:paraId="48C86A3E" w14:textId="77777777" w:rsidTr="003E3336">
        <w:trPr>
          <w:trHeight w:val="300"/>
        </w:trPr>
        <w:tc>
          <w:tcPr>
            <w:tcW w:w="3090" w:type="dxa"/>
            <w:vMerge/>
            <w:tcBorders>
              <w:left w:val="single" w:sz="0" w:space="0" w:color="auto"/>
              <w:right w:val="single" w:sz="0" w:space="0" w:color="auto"/>
            </w:tcBorders>
            <w:vAlign w:val="center"/>
          </w:tcPr>
          <w:p w14:paraId="1A11E0F5" w14:textId="77777777" w:rsidR="006A7227" w:rsidRDefault="006A7227" w:rsidP="003E3336"/>
        </w:tc>
        <w:tc>
          <w:tcPr>
            <w:tcW w:w="809" w:type="dxa"/>
            <w:tcBorders>
              <w:top w:val="single" w:sz="8" w:space="0" w:color="auto"/>
              <w:left w:val="nil"/>
              <w:bottom w:val="single" w:sz="8" w:space="0" w:color="auto"/>
              <w:right w:val="single" w:sz="8" w:space="0" w:color="auto"/>
            </w:tcBorders>
            <w:tcMar>
              <w:left w:w="108" w:type="dxa"/>
              <w:right w:w="108" w:type="dxa"/>
            </w:tcMar>
          </w:tcPr>
          <w:p w14:paraId="3AEFC682" w14:textId="77777777" w:rsidR="006A7227" w:rsidRDefault="006A7227" w:rsidP="003E3336">
            <w:pPr>
              <w:rPr>
                <w:rFonts w:eastAsia="Arial"/>
                <w:b/>
                <w:bCs/>
              </w:rPr>
            </w:pPr>
            <w:r w:rsidRPr="7FE4EE43">
              <w:rPr>
                <w:rFonts w:eastAsia="Arial"/>
                <w:b/>
                <w:bCs/>
              </w:rPr>
              <w:t>d)</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1B9F4936" w14:textId="77777777" w:rsidR="006A7227" w:rsidRDefault="006A7227" w:rsidP="003E3336">
            <w:pPr>
              <w:rPr>
                <w:rFonts w:eastAsia="Arial"/>
              </w:rPr>
            </w:pPr>
            <w:r w:rsidRPr="7FE4EE43">
              <w:rPr>
                <w:rFonts w:eastAsia="Arial"/>
              </w:rPr>
              <w:t>In aggiunta a quanto specificato al punto 7.2 “Domanda”, si applica quanto segue</w:t>
            </w:r>
            <w:r>
              <w:rPr>
                <w:rFonts w:eastAsia="Arial"/>
              </w:rPr>
              <w:t xml:space="preserve"> ovvero </w:t>
            </w:r>
            <w:r w:rsidRPr="000665DC">
              <w:rPr>
                <w:rFonts w:eastAsia="Arial"/>
              </w:rPr>
              <w:t xml:space="preserve">la certificazione è rilasciata alle Pubbliche Amministrazioni rientranti nelle categorie di cui al precedente punto 7.1.  </w:t>
            </w:r>
          </w:p>
        </w:tc>
      </w:tr>
      <w:tr w:rsidR="006A7227" w14:paraId="6966E4FE" w14:textId="77777777" w:rsidTr="003E3336">
        <w:trPr>
          <w:trHeight w:val="300"/>
        </w:trPr>
        <w:tc>
          <w:tcPr>
            <w:tcW w:w="3090" w:type="dxa"/>
            <w:vMerge/>
            <w:tcBorders>
              <w:left w:val="single" w:sz="0" w:space="0" w:color="auto"/>
              <w:right w:val="single" w:sz="0" w:space="0" w:color="auto"/>
            </w:tcBorders>
            <w:vAlign w:val="center"/>
          </w:tcPr>
          <w:p w14:paraId="4BA0AD41" w14:textId="77777777" w:rsidR="006A7227" w:rsidRDefault="006A7227" w:rsidP="003E3336"/>
        </w:tc>
        <w:tc>
          <w:tcPr>
            <w:tcW w:w="809" w:type="dxa"/>
            <w:tcBorders>
              <w:top w:val="single" w:sz="8" w:space="0" w:color="auto"/>
              <w:left w:val="nil"/>
              <w:bottom w:val="single" w:sz="8" w:space="0" w:color="auto"/>
              <w:right w:val="single" w:sz="8" w:space="0" w:color="auto"/>
            </w:tcBorders>
            <w:tcMar>
              <w:left w:w="108" w:type="dxa"/>
              <w:right w:w="108" w:type="dxa"/>
            </w:tcMar>
          </w:tcPr>
          <w:p w14:paraId="6E23838E" w14:textId="77777777" w:rsidR="006A7227" w:rsidRDefault="006A7227" w:rsidP="003E3336">
            <w:pPr>
              <w:rPr>
                <w:rFonts w:eastAsia="Arial"/>
                <w:b/>
                <w:bCs/>
              </w:rPr>
            </w:pPr>
            <w:r w:rsidRPr="7FE4EE43">
              <w:rPr>
                <w:rFonts w:eastAsia="Arial"/>
                <w:b/>
                <w:bCs/>
              </w:rPr>
              <w:t>e)</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637AE2D5" w14:textId="77777777" w:rsidR="006A7227" w:rsidRDefault="006A7227" w:rsidP="003E3336">
            <w:pPr>
              <w:rPr>
                <w:rFonts w:eastAsia="Arial"/>
              </w:rPr>
            </w:pPr>
            <w:r w:rsidRPr="7FE4EE43">
              <w:rPr>
                <w:rFonts w:eastAsia="Arial"/>
              </w:rPr>
              <w:t>In aggiunta a quanto specificato al punto 7.4 “Valutazione”, si applica quanto segue.</w:t>
            </w:r>
          </w:p>
          <w:p w14:paraId="7C5CF625" w14:textId="77777777" w:rsidR="006A7227" w:rsidRDefault="006A7227" w:rsidP="003E3336">
            <w:pPr>
              <w:rPr>
                <w:rFonts w:eastAsia="Arial"/>
                <w:b/>
                <w:bCs/>
              </w:rPr>
            </w:pPr>
            <w:r w:rsidRPr="7FE4EE43">
              <w:rPr>
                <w:rFonts w:eastAsia="Arial"/>
                <w:b/>
                <w:bCs/>
              </w:rPr>
              <w:t>e.1) Durata dell’audit di certificazione iniziale</w:t>
            </w:r>
          </w:p>
          <w:p w14:paraId="155BD172" w14:textId="77777777" w:rsidR="006A7227" w:rsidRPr="000665DC" w:rsidRDefault="006A7227" w:rsidP="003E3336">
            <w:pPr>
              <w:rPr>
                <w:rFonts w:eastAsia="Arial"/>
              </w:rPr>
            </w:pPr>
            <w:r w:rsidRPr="000665DC">
              <w:rPr>
                <w:rFonts w:eastAsia="Arial"/>
              </w:rPr>
              <w:t xml:space="preserve">Per la durata dell’audit, dovrà essere considerata la complessità del processo di assegnazione applicato dalla PA in funzione dell’entità degli importi delle procedure. A tal proposito si faccia riferimento a quanto disciplinato dallo strumento di finanziamento di riferimento (es. legge di bilancio, appalti, fondi UE, PNRR, FSC </w:t>
            </w:r>
            <w:proofErr w:type="spellStart"/>
            <w:r w:rsidRPr="000665DC">
              <w:rPr>
                <w:rFonts w:eastAsia="Arial"/>
              </w:rPr>
              <w:t>ecc</w:t>
            </w:r>
            <w:proofErr w:type="spellEnd"/>
            <w:r w:rsidRPr="000665DC">
              <w:rPr>
                <w:rFonts w:eastAsia="Arial"/>
              </w:rPr>
              <w:t>). L’Organismo dovrà documentare la presente analisi nella fase di Riesame della Domanda.</w:t>
            </w:r>
          </w:p>
          <w:p w14:paraId="7E7EBA62" w14:textId="77777777" w:rsidR="006A7227" w:rsidRPr="000665DC" w:rsidRDefault="006A7227" w:rsidP="003E3336">
            <w:pPr>
              <w:rPr>
                <w:rFonts w:eastAsia="Arial"/>
                <w:b/>
                <w:bCs/>
              </w:rPr>
            </w:pPr>
            <w:r w:rsidRPr="000665DC">
              <w:rPr>
                <w:rFonts w:eastAsia="Arial"/>
                <w:b/>
                <w:bCs/>
              </w:rPr>
              <w:t>e.2) Sedi oggetto di audit</w:t>
            </w:r>
          </w:p>
          <w:p w14:paraId="5EC135BD" w14:textId="77777777" w:rsidR="006A7227" w:rsidRDefault="006A7227" w:rsidP="003E3336">
            <w:pPr>
              <w:rPr>
                <w:rFonts w:eastAsia="Arial"/>
              </w:rPr>
            </w:pPr>
            <w:r w:rsidRPr="000665DC">
              <w:rPr>
                <w:rFonts w:eastAsia="Arial"/>
              </w:rPr>
              <w:t>Deve essere indicata la/e sede/i della PA responsabile/i della procedura d’investimento (processo) da certificare.</w:t>
            </w:r>
            <w:r>
              <w:rPr>
                <w:rFonts w:eastAsia="Arial"/>
              </w:rPr>
              <w:t xml:space="preserve"> </w:t>
            </w:r>
          </w:p>
          <w:p w14:paraId="3537827B" w14:textId="77777777" w:rsidR="006A7227" w:rsidRDefault="006A7227" w:rsidP="003E3336">
            <w:pPr>
              <w:rPr>
                <w:rFonts w:eastAsia="Arial"/>
                <w:b/>
                <w:bCs/>
              </w:rPr>
            </w:pPr>
            <w:r w:rsidRPr="7FE4EE43">
              <w:rPr>
                <w:rFonts w:eastAsia="Arial"/>
                <w:b/>
                <w:bCs/>
              </w:rPr>
              <w:t>e.3) Attività di audit di certificazione iniziale</w:t>
            </w:r>
          </w:p>
          <w:p w14:paraId="2D9574F6" w14:textId="6854DAB9" w:rsidR="006A7227" w:rsidRPr="0022339F" w:rsidRDefault="006A7227" w:rsidP="003E3336">
            <w:pPr>
              <w:rPr>
                <w:rFonts w:eastAsia="Arial"/>
              </w:rPr>
            </w:pPr>
            <w:r w:rsidRPr="7FE4EE43">
              <w:rPr>
                <w:rFonts w:eastAsia="Arial"/>
              </w:rPr>
              <w:lastRenderedPageBreak/>
              <w:t xml:space="preserve">Per verificare operativamente tutti i PROCESSI ricompresi nello scopo di certificazione, l’audit di certificazione iniziale deve essere effettuato in conformità al punto </w:t>
            </w:r>
            <w:r w:rsidRPr="000665DC">
              <w:rPr>
                <w:rFonts w:eastAsia="Arial"/>
              </w:rPr>
              <w:t>7.4 della UNI CEI EN ISO/IEC 17065:2012 integrato dai requisiti previsti al punto 9.3.1 della UNI CEI EN ISO/IEC 17021-1:2015</w:t>
            </w:r>
            <w:r w:rsidR="00B8160F">
              <w:rPr>
                <w:rFonts w:eastAsia="Arial"/>
              </w:rPr>
              <w:t>.</w:t>
            </w:r>
          </w:p>
          <w:p w14:paraId="59B4D7C2" w14:textId="77777777" w:rsidR="006A7227" w:rsidRDefault="006A7227" w:rsidP="003E3336">
            <w:pPr>
              <w:rPr>
                <w:rFonts w:eastAsia="Arial"/>
                <w:b/>
                <w:bCs/>
              </w:rPr>
            </w:pPr>
            <w:r w:rsidRPr="7FE4EE43">
              <w:rPr>
                <w:rFonts w:eastAsia="Arial"/>
                <w:b/>
                <w:bCs/>
              </w:rPr>
              <w:t>e.4) Documentazione della valutazione</w:t>
            </w:r>
          </w:p>
          <w:p w14:paraId="09C617E1" w14:textId="77777777" w:rsidR="006A7227" w:rsidRDefault="006A7227" w:rsidP="003E3336">
            <w:pPr>
              <w:rPr>
                <w:rFonts w:eastAsia="Arial"/>
              </w:rPr>
            </w:pPr>
            <w:r w:rsidRPr="7FE4EE43">
              <w:rPr>
                <w:rFonts w:eastAsia="Arial"/>
              </w:rPr>
              <w:t>La documentazione della valutazione deve riportare, tra le altre registrazioni, quanto segue:</w:t>
            </w:r>
          </w:p>
          <w:p w14:paraId="0F8EC385" w14:textId="77777777" w:rsidR="006A7227" w:rsidRDefault="006A7227" w:rsidP="003E3336">
            <w:pPr>
              <w:ind w:left="321" w:hanging="321"/>
              <w:rPr>
                <w:rFonts w:eastAsia="Arial"/>
              </w:rPr>
            </w:pPr>
            <w:r w:rsidRPr="7FE4EE43">
              <w:rPr>
                <w:rFonts w:eastAsia="Arial"/>
              </w:rPr>
              <w:t>-il perimetro e l’applicabilità dello schema di certificazione, con la definizione degli indirizzi legali e operativi della/e sede/i dell’organizzazione;</w:t>
            </w:r>
          </w:p>
          <w:p w14:paraId="72EF824E" w14:textId="77777777" w:rsidR="006A7227" w:rsidRDefault="006A7227" w:rsidP="003E3336">
            <w:pPr>
              <w:ind w:left="321" w:hanging="321"/>
              <w:rPr>
                <w:rFonts w:eastAsia="Arial"/>
              </w:rPr>
            </w:pPr>
            <w:r w:rsidRPr="7FE4EE43">
              <w:rPr>
                <w:rFonts w:eastAsia="Arial"/>
              </w:rPr>
              <w:t>-la mappatura dei PROCESSI svolti dall’organizzazione.</w:t>
            </w:r>
          </w:p>
        </w:tc>
      </w:tr>
      <w:tr w:rsidR="006A7227" w14:paraId="34C55E43" w14:textId="77777777" w:rsidTr="003E3336">
        <w:trPr>
          <w:trHeight w:val="300"/>
        </w:trPr>
        <w:tc>
          <w:tcPr>
            <w:tcW w:w="3090" w:type="dxa"/>
            <w:vMerge/>
            <w:tcBorders>
              <w:left w:val="single" w:sz="0" w:space="0" w:color="auto"/>
              <w:right w:val="single" w:sz="0" w:space="0" w:color="auto"/>
            </w:tcBorders>
            <w:vAlign w:val="center"/>
          </w:tcPr>
          <w:p w14:paraId="2B6BCB74" w14:textId="77777777" w:rsidR="006A7227" w:rsidRDefault="006A7227" w:rsidP="003E3336"/>
        </w:tc>
        <w:tc>
          <w:tcPr>
            <w:tcW w:w="809" w:type="dxa"/>
            <w:tcBorders>
              <w:top w:val="single" w:sz="8" w:space="0" w:color="auto"/>
              <w:left w:val="nil"/>
              <w:bottom w:val="single" w:sz="8" w:space="0" w:color="auto"/>
              <w:right w:val="single" w:sz="8" w:space="0" w:color="auto"/>
            </w:tcBorders>
            <w:tcMar>
              <w:left w:w="108" w:type="dxa"/>
              <w:right w:w="108" w:type="dxa"/>
            </w:tcMar>
          </w:tcPr>
          <w:p w14:paraId="6168D92F" w14:textId="77777777" w:rsidR="006A7227" w:rsidRDefault="006A7227" w:rsidP="003E3336">
            <w:pPr>
              <w:rPr>
                <w:rFonts w:eastAsia="Arial"/>
                <w:b/>
                <w:bCs/>
              </w:rPr>
            </w:pPr>
            <w:r w:rsidRPr="7FE4EE43">
              <w:rPr>
                <w:rFonts w:eastAsia="Arial"/>
                <w:b/>
                <w:bCs/>
              </w:rPr>
              <w:t>f)</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0E60DB2F" w14:textId="5AED46FE" w:rsidR="006A7227" w:rsidRDefault="006A7227" w:rsidP="003E3336">
            <w:pPr>
              <w:rPr>
                <w:rFonts w:eastAsia="Arial"/>
              </w:rPr>
            </w:pPr>
            <w:r w:rsidRPr="7FE4EE43">
              <w:rPr>
                <w:rFonts w:eastAsia="Arial"/>
              </w:rPr>
              <w:t xml:space="preserve">Per applicare il punto 7.7.1 c), si deve specificare la sede legale </w:t>
            </w:r>
            <w:r w:rsidRPr="00B8160F">
              <w:rPr>
                <w:rFonts w:eastAsia="Arial"/>
              </w:rPr>
              <w:t>della PA e le sed</w:t>
            </w:r>
            <w:r w:rsidRPr="7FE4EE43">
              <w:rPr>
                <w:rFonts w:eastAsia="Arial"/>
              </w:rPr>
              <w:t xml:space="preserve">i </w:t>
            </w:r>
            <w:r w:rsidRPr="00B8160F">
              <w:rPr>
                <w:rFonts w:eastAsia="Arial"/>
              </w:rPr>
              <w:t>periferiche territorial</w:t>
            </w:r>
            <w:r w:rsidR="00B8160F" w:rsidRPr="00B8160F">
              <w:rPr>
                <w:rFonts w:eastAsia="Arial"/>
              </w:rPr>
              <w:t>i</w:t>
            </w:r>
            <w:r w:rsidR="00B8160F">
              <w:rPr>
                <w:rFonts w:eastAsia="Arial"/>
              </w:rPr>
              <w:t xml:space="preserve"> </w:t>
            </w:r>
            <w:r w:rsidRPr="7FE4EE43">
              <w:rPr>
                <w:rFonts w:eastAsia="Arial"/>
              </w:rPr>
              <w:t>pertinenti</w:t>
            </w:r>
            <w:r w:rsidR="00B8160F">
              <w:rPr>
                <w:rFonts w:eastAsia="Arial"/>
              </w:rPr>
              <w:t>.</w:t>
            </w:r>
          </w:p>
        </w:tc>
      </w:tr>
      <w:tr w:rsidR="006A7227" w14:paraId="0DD7F51A" w14:textId="77777777" w:rsidTr="003E3336">
        <w:trPr>
          <w:trHeight w:val="300"/>
        </w:trPr>
        <w:tc>
          <w:tcPr>
            <w:tcW w:w="3090" w:type="dxa"/>
            <w:vMerge/>
            <w:tcBorders>
              <w:left w:val="single" w:sz="0" w:space="0" w:color="auto"/>
              <w:right w:val="single" w:sz="0" w:space="0" w:color="auto"/>
            </w:tcBorders>
            <w:vAlign w:val="center"/>
          </w:tcPr>
          <w:p w14:paraId="12BDEF0F" w14:textId="77777777" w:rsidR="006A7227" w:rsidRDefault="006A7227" w:rsidP="003E3336"/>
        </w:tc>
        <w:tc>
          <w:tcPr>
            <w:tcW w:w="809" w:type="dxa"/>
            <w:tcBorders>
              <w:top w:val="single" w:sz="8" w:space="0" w:color="auto"/>
              <w:left w:val="nil"/>
              <w:bottom w:val="single" w:sz="8" w:space="0" w:color="auto"/>
              <w:right w:val="single" w:sz="8" w:space="0" w:color="auto"/>
            </w:tcBorders>
            <w:tcMar>
              <w:left w:w="108" w:type="dxa"/>
              <w:right w:w="108" w:type="dxa"/>
            </w:tcMar>
          </w:tcPr>
          <w:p w14:paraId="1B88C734" w14:textId="77777777" w:rsidR="006A7227" w:rsidRDefault="006A7227" w:rsidP="003E3336">
            <w:pPr>
              <w:rPr>
                <w:rFonts w:eastAsia="Arial"/>
                <w:b/>
                <w:bCs/>
              </w:rPr>
            </w:pPr>
            <w:r w:rsidRPr="7FE4EE43">
              <w:rPr>
                <w:rFonts w:eastAsia="Arial"/>
                <w:b/>
                <w:bCs/>
              </w:rPr>
              <w:t>g)</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694EC492" w14:textId="77777777" w:rsidR="006A7227" w:rsidRDefault="006A7227" w:rsidP="003E3336">
            <w:pPr>
              <w:rPr>
                <w:rFonts w:eastAsia="Arial"/>
              </w:rPr>
            </w:pPr>
            <w:r w:rsidRPr="7FE4EE43">
              <w:rPr>
                <w:rFonts w:eastAsia="Arial"/>
              </w:rPr>
              <w:t>Per applicare il punto 7.7.1 d), si deve specificare il riferimento al presente documento, completo dell’anno di edizione.</w:t>
            </w:r>
          </w:p>
        </w:tc>
      </w:tr>
      <w:tr w:rsidR="006A7227" w14:paraId="5980AF17" w14:textId="77777777" w:rsidTr="003E3336">
        <w:trPr>
          <w:trHeight w:val="300"/>
        </w:trPr>
        <w:tc>
          <w:tcPr>
            <w:tcW w:w="3090" w:type="dxa"/>
            <w:vMerge/>
            <w:tcBorders>
              <w:left w:val="single" w:sz="0" w:space="0" w:color="auto"/>
              <w:right w:val="single" w:sz="0" w:space="0" w:color="auto"/>
            </w:tcBorders>
            <w:vAlign w:val="center"/>
          </w:tcPr>
          <w:p w14:paraId="30E294AD" w14:textId="77777777" w:rsidR="006A7227" w:rsidRDefault="006A7227" w:rsidP="003E3336"/>
        </w:tc>
        <w:tc>
          <w:tcPr>
            <w:tcW w:w="809" w:type="dxa"/>
            <w:tcBorders>
              <w:top w:val="single" w:sz="8" w:space="0" w:color="auto"/>
              <w:left w:val="nil"/>
              <w:bottom w:val="single" w:sz="8" w:space="0" w:color="auto"/>
              <w:right w:val="single" w:sz="8" w:space="0" w:color="auto"/>
            </w:tcBorders>
            <w:tcMar>
              <w:left w:w="108" w:type="dxa"/>
              <w:right w:w="108" w:type="dxa"/>
            </w:tcMar>
          </w:tcPr>
          <w:p w14:paraId="7F6E8D75" w14:textId="77777777" w:rsidR="006A7227" w:rsidRDefault="006A7227" w:rsidP="003E3336">
            <w:pPr>
              <w:rPr>
                <w:rFonts w:eastAsia="Arial"/>
                <w:b/>
                <w:bCs/>
              </w:rPr>
            </w:pPr>
            <w:r w:rsidRPr="7FE4EE43">
              <w:rPr>
                <w:rFonts w:eastAsia="Arial"/>
                <w:b/>
                <w:bCs/>
              </w:rPr>
              <w:t>h)</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4F35AED3" w14:textId="77777777" w:rsidR="006A7227" w:rsidRDefault="006A7227" w:rsidP="003E3336">
            <w:pPr>
              <w:rPr>
                <w:rFonts w:eastAsia="Arial"/>
              </w:rPr>
            </w:pPr>
            <w:r w:rsidRPr="7FE4EE43">
              <w:rPr>
                <w:rFonts w:eastAsia="Arial"/>
              </w:rPr>
              <w:t xml:space="preserve">Per applicare il punto 7.7.1 e), si deve tenere conto che la certificazione ha validità </w:t>
            </w:r>
            <w:r w:rsidRPr="00B8160F">
              <w:rPr>
                <w:rFonts w:eastAsia="Arial"/>
              </w:rPr>
              <w:t>3 anni ed è applicabile la sorveglianza annuale (per la determinazione ci si riferisce a quanto previsto dalla ISO/IEC 17065:2012 § 7.9.1 nota 1).</w:t>
            </w:r>
            <w:r>
              <w:rPr>
                <w:rFonts w:eastAsia="Arial"/>
              </w:rPr>
              <w:t xml:space="preserve"> </w:t>
            </w:r>
          </w:p>
        </w:tc>
      </w:tr>
      <w:tr w:rsidR="006A7227" w14:paraId="14781EFC" w14:textId="77777777" w:rsidTr="003E3336">
        <w:trPr>
          <w:trHeight w:val="300"/>
        </w:trPr>
        <w:tc>
          <w:tcPr>
            <w:tcW w:w="3090" w:type="dxa"/>
            <w:vMerge/>
            <w:tcBorders>
              <w:left w:val="single" w:sz="0" w:space="0" w:color="auto"/>
              <w:right w:val="single" w:sz="0" w:space="0" w:color="auto"/>
            </w:tcBorders>
            <w:vAlign w:val="center"/>
          </w:tcPr>
          <w:p w14:paraId="38C9E869" w14:textId="77777777" w:rsidR="006A7227" w:rsidRDefault="006A7227" w:rsidP="003E3336"/>
        </w:tc>
        <w:tc>
          <w:tcPr>
            <w:tcW w:w="809" w:type="dxa"/>
            <w:tcBorders>
              <w:top w:val="single" w:sz="8" w:space="0" w:color="auto"/>
              <w:left w:val="nil"/>
              <w:bottom w:val="single" w:sz="8" w:space="0" w:color="auto"/>
              <w:right w:val="single" w:sz="8" w:space="0" w:color="auto"/>
            </w:tcBorders>
            <w:tcMar>
              <w:left w:w="108" w:type="dxa"/>
              <w:right w:w="108" w:type="dxa"/>
            </w:tcMar>
          </w:tcPr>
          <w:p w14:paraId="34E5E2EE" w14:textId="77777777" w:rsidR="006A7227" w:rsidRDefault="006A7227" w:rsidP="003E3336">
            <w:pPr>
              <w:rPr>
                <w:rFonts w:eastAsia="Arial"/>
                <w:b/>
                <w:bCs/>
              </w:rPr>
            </w:pPr>
            <w:r w:rsidRPr="7FE4EE43">
              <w:rPr>
                <w:rFonts w:eastAsia="Arial"/>
                <w:b/>
                <w:bCs/>
              </w:rPr>
              <w:t>i)</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723F95AE" w14:textId="77777777" w:rsidR="006A7227" w:rsidRDefault="006A7227" w:rsidP="003E3336">
            <w:pPr>
              <w:rPr>
                <w:rFonts w:eastAsia="Arial"/>
              </w:rPr>
            </w:pPr>
            <w:r w:rsidRPr="7FE4EE43">
              <w:rPr>
                <w:rFonts w:eastAsia="Arial"/>
              </w:rPr>
              <w:t>In aggiunta a quanto specificato al punto 7.7 “Documentazione riguardante la certificazione”, si applica quanto segue.</w:t>
            </w:r>
          </w:p>
          <w:p w14:paraId="0C5E3085" w14:textId="77777777" w:rsidR="006A7227" w:rsidRDefault="006A7227" w:rsidP="003E3336">
            <w:pPr>
              <w:rPr>
                <w:rFonts w:eastAsia="Arial"/>
              </w:rPr>
            </w:pPr>
            <w:r w:rsidRPr="7FE4EE43">
              <w:rPr>
                <w:rFonts w:eastAsia="Arial"/>
              </w:rPr>
              <w:t>Il certificato deve contenere un codice univoco di identificazione.</w:t>
            </w:r>
          </w:p>
        </w:tc>
      </w:tr>
      <w:tr w:rsidR="006A7227" w14:paraId="71996ED5" w14:textId="77777777" w:rsidTr="003E3336">
        <w:trPr>
          <w:trHeight w:val="300"/>
        </w:trPr>
        <w:tc>
          <w:tcPr>
            <w:tcW w:w="3090" w:type="dxa"/>
            <w:vMerge/>
            <w:tcBorders>
              <w:left w:val="single" w:sz="0" w:space="0" w:color="auto"/>
              <w:right w:val="single" w:sz="0" w:space="0" w:color="auto"/>
            </w:tcBorders>
            <w:vAlign w:val="center"/>
          </w:tcPr>
          <w:p w14:paraId="5F4953A8" w14:textId="77777777" w:rsidR="006A7227" w:rsidRDefault="006A7227" w:rsidP="003E3336"/>
        </w:tc>
        <w:tc>
          <w:tcPr>
            <w:tcW w:w="809" w:type="dxa"/>
            <w:tcBorders>
              <w:top w:val="single" w:sz="8" w:space="0" w:color="auto"/>
              <w:left w:val="nil"/>
              <w:bottom w:val="single" w:sz="8" w:space="0" w:color="auto"/>
              <w:right w:val="single" w:sz="8" w:space="0" w:color="auto"/>
            </w:tcBorders>
            <w:tcMar>
              <w:left w:w="108" w:type="dxa"/>
              <w:right w:w="108" w:type="dxa"/>
            </w:tcMar>
          </w:tcPr>
          <w:p w14:paraId="1B1B3105" w14:textId="77777777" w:rsidR="006A7227" w:rsidRDefault="006A7227" w:rsidP="003E3336">
            <w:pPr>
              <w:rPr>
                <w:rFonts w:eastAsia="Arial"/>
                <w:b/>
                <w:bCs/>
              </w:rPr>
            </w:pPr>
            <w:r w:rsidRPr="7FE4EE43">
              <w:rPr>
                <w:rFonts w:eastAsia="Arial"/>
                <w:b/>
                <w:bCs/>
              </w:rPr>
              <w:t>l)</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7D345040" w14:textId="77777777" w:rsidR="006A7227" w:rsidRDefault="006A7227" w:rsidP="003E3336">
            <w:pPr>
              <w:rPr>
                <w:rFonts w:eastAsia="Arial"/>
              </w:rPr>
            </w:pPr>
            <w:r w:rsidRPr="7FE4EE43">
              <w:rPr>
                <w:rFonts w:eastAsia="Arial"/>
              </w:rPr>
              <w:t>In aggiunta a quanto specificato al punto 7.9 “Sorveglianza”, si applica quanto segue.</w:t>
            </w:r>
          </w:p>
          <w:p w14:paraId="5AF7935F" w14:textId="77777777" w:rsidR="006A7227" w:rsidRDefault="006A7227" w:rsidP="003E3336">
            <w:pPr>
              <w:rPr>
                <w:rFonts w:eastAsia="Arial"/>
                <w:b/>
                <w:bCs/>
              </w:rPr>
            </w:pPr>
            <w:r w:rsidRPr="7FE4EE43">
              <w:rPr>
                <w:rFonts w:eastAsia="Arial"/>
                <w:b/>
                <w:bCs/>
              </w:rPr>
              <w:t>l.1) Periodicità degli audit di sorveglianza</w:t>
            </w:r>
          </w:p>
          <w:p w14:paraId="66DD818B" w14:textId="77777777" w:rsidR="006A7227" w:rsidRDefault="006A7227" w:rsidP="003E3336">
            <w:pPr>
              <w:rPr>
                <w:rFonts w:eastAsia="Arial"/>
              </w:rPr>
            </w:pPr>
            <w:r w:rsidRPr="7FE4EE43">
              <w:rPr>
                <w:rFonts w:eastAsia="Arial"/>
              </w:rPr>
              <w:t xml:space="preserve">Gli audit di sorveglianza devono essere effettuati con periodicità </w:t>
            </w:r>
            <w:r w:rsidRPr="00B8160F">
              <w:rPr>
                <w:rFonts w:eastAsia="Arial"/>
              </w:rPr>
              <w:t>annuale.</w:t>
            </w:r>
            <w:r>
              <w:rPr>
                <w:rFonts w:eastAsia="Arial"/>
              </w:rPr>
              <w:t xml:space="preserve"> </w:t>
            </w:r>
          </w:p>
          <w:p w14:paraId="5ABFB020" w14:textId="77777777" w:rsidR="006A7227" w:rsidRDefault="006A7227" w:rsidP="003E3336">
            <w:pPr>
              <w:rPr>
                <w:rFonts w:eastAsia="Arial"/>
              </w:rPr>
            </w:pPr>
            <w:r w:rsidRPr="7FE4EE43">
              <w:rPr>
                <w:rFonts w:eastAsia="Arial"/>
              </w:rPr>
              <w:t>[La possibilità di effettuare audit con breve preavviso, audit senza preavviso e/o audit in incognito (mystery audit) deve essere prevista nell’accordo di certificazione tra l’</w:t>
            </w:r>
            <w:proofErr w:type="spellStart"/>
            <w:r w:rsidRPr="7FE4EE43">
              <w:rPr>
                <w:rFonts w:eastAsia="Arial"/>
              </w:rPr>
              <w:t>OdC</w:t>
            </w:r>
            <w:proofErr w:type="spellEnd"/>
            <w:r w:rsidRPr="7FE4EE43">
              <w:rPr>
                <w:rFonts w:eastAsia="Arial"/>
              </w:rPr>
              <w:t xml:space="preserve"> e l’organizzazione richiedente.]</w:t>
            </w:r>
          </w:p>
          <w:p w14:paraId="06D4946B" w14:textId="77777777" w:rsidR="006A7227" w:rsidRDefault="006A7227" w:rsidP="003E3336">
            <w:pPr>
              <w:rPr>
                <w:rFonts w:eastAsia="Arial"/>
                <w:b/>
                <w:bCs/>
              </w:rPr>
            </w:pPr>
            <w:r w:rsidRPr="7FE4EE43">
              <w:rPr>
                <w:rFonts w:eastAsia="Arial"/>
                <w:b/>
                <w:bCs/>
              </w:rPr>
              <w:t>l.2) Durata degli audit di sorveglianza</w:t>
            </w:r>
          </w:p>
          <w:p w14:paraId="244E89B7" w14:textId="4BBC8D31" w:rsidR="006A7227" w:rsidRDefault="006A7227" w:rsidP="003E3336">
            <w:pPr>
              <w:rPr>
                <w:rFonts w:eastAsia="Arial"/>
              </w:rPr>
            </w:pPr>
            <w:r w:rsidRPr="7FE4EE43">
              <w:rPr>
                <w:rFonts w:eastAsia="Arial"/>
              </w:rPr>
              <w:t xml:space="preserve">La durata degli audit di sorveglianza deve essere </w:t>
            </w:r>
            <w:r w:rsidR="008A32BC">
              <w:rPr>
                <w:rFonts w:eastAsia="Arial"/>
              </w:rPr>
              <w:t>50</w:t>
            </w:r>
            <w:r w:rsidR="000F2B3C">
              <w:rPr>
                <w:rFonts w:eastAsia="Arial"/>
              </w:rPr>
              <w:t>%</w:t>
            </w:r>
            <w:r w:rsidRPr="7FE4EE43">
              <w:rPr>
                <w:rFonts w:eastAsia="Arial"/>
              </w:rPr>
              <w:t xml:space="preserve"> della durata dell’audit di certificazione iniziale.</w:t>
            </w:r>
          </w:p>
          <w:p w14:paraId="7405F7D6" w14:textId="77777777" w:rsidR="006A7227" w:rsidRPr="001560FF" w:rsidRDefault="006A7227" w:rsidP="003E3336">
            <w:pPr>
              <w:rPr>
                <w:rFonts w:eastAsia="Arial"/>
                <w:b/>
                <w:bCs/>
              </w:rPr>
            </w:pPr>
            <w:r w:rsidRPr="001560FF">
              <w:rPr>
                <w:rFonts w:eastAsia="Arial"/>
                <w:b/>
                <w:bCs/>
              </w:rPr>
              <w:t>l.3) Attività degli audit di sorveglianza</w:t>
            </w:r>
          </w:p>
          <w:p w14:paraId="2401BC16" w14:textId="77777777" w:rsidR="006A7227" w:rsidRDefault="006A7227" w:rsidP="003E3336">
            <w:pPr>
              <w:spacing w:line="240" w:lineRule="auto"/>
              <w:rPr>
                <w:rFonts w:eastAsia="Arial"/>
              </w:rPr>
            </w:pPr>
            <w:r w:rsidRPr="00B8160F">
              <w:t>La misurazione ex-post deve essere effettuata con cadenza annuale e lo scostamento rispetto agli obiettivi deve essere giustificato</w:t>
            </w:r>
            <w:r w:rsidRPr="00B8160F">
              <w:rPr>
                <w:rFonts w:eastAsia="Arial"/>
              </w:rPr>
              <w:t>.</w:t>
            </w:r>
            <w:r>
              <w:rPr>
                <w:rStyle w:val="fontstyle01"/>
              </w:rPr>
              <w:t xml:space="preserve"> </w:t>
            </w:r>
          </w:p>
        </w:tc>
      </w:tr>
      <w:tr w:rsidR="006A7227" w14:paraId="5D49ABC7" w14:textId="77777777" w:rsidTr="003E3336">
        <w:trPr>
          <w:trHeight w:val="300"/>
        </w:trPr>
        <w:tc>
          <w:tcPr>
            <w:tcW w:w="3090" w:type="dxa"/>
            <w:vMerge/>
            <w:tcBorders>
              <w:left w:val="single" w:sz="0" w:space="0" w:color="auto"/>
              <w:bottom w:val="single" w:sz="0" w:space="0" w:color="auto"/>
              <w:right w:val="single" w:sz="0" w:space="0" w:color="auto"/>
            </w:tcBorders>
            <w:vAlign w:val="center"/>
          </w:tcPr>
          <w:p w14:paraId="263DCF3A" w14:textId="77777777" w:rsidR="006A7227" w:rsidRDefault="006A7227" w:rsidP="003E3336"/>
        </w:tc>
        <w:tc>
          <w:tcPr>
            <w:tcW w:w="809" w:type="dxa"/>
            <w:tcBorders>
              <w:top w:val="single" w:sz="8" w:space="0" w:color="auto"/>
              <w:left w:val="nil"/>
              <w:bottom w:val="single" w:sz="8" w:space="0" w:color="auto"/>
              <w:right w:val="single" w:sz="8" w:space="0" w:color="auto"/>
            </w:tcBorders>
            <w:tcMar>
              <w:left w:w="108" w:type="dxa"/>
              <w:right w:w="108" w:type="dxa"/>
            </w:tcMar>
          </w:tcPr>
          <w:p w14:paraId="2C43A2A3" w14:textId="77777777" w:rsidR="006A7227" w:rsidRDefault="006A7227" w:rsidP="003E3336">
            <w:pPr>
              <w:rPr>
                <w:rFonts w:eastAsia="Arial"/>
                <w:b/>
                <w:bCs/>
              </w:rPr>
            </w:pPr>
            <w:r w:rsidRPr="7FE4EE43">
              <w:rPr>
                <w:rFonts w:eastAsia="Arial"/>
                <w:b/>
                <w:bCs/>
              </w:rPr>
              <w:t>m)</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39C31464" w14:textId="77777777" w:rsidR="006A7227" w:rsidRDefault="006A7227" w:rsidP="003E3336">
            <w:pPr>
              <w:rPr>
                <w:rFonts w:eastAsia="Arial"/>
              </w:rPr>
            </w:pPr>
            <w:r w:rsidRPr="7FE4EE43">
              <w:rPr>
                <w:rFonts w:eastAsia="Arial"/>
              </w:rPr>
              <w:t>In aggiunta a quanto specificato al punto 7, si applica quanto segue.</w:t>
            </w:r>
          </w:p>
          <w:p w14:paraId="0BF21D9E" w14:textId="77777777" w:rsidR="006A7227" w:rsidRDefault="006A7227" w:rsidP="003E3336">
            <w:pPr>
              <w:rPr>
                <w:rFonts w:eastAsia="Arial"/>
                <w:b/>
                <w:bCs/>
              </w:rPr>
            </w:pPr>
            <w:r w:rsidRPr="7FE4EE43">
              <w:rPr>
                <w:rFonts w:eastAsia="Arial"/>
                <w:b/>
                <w:bCs/>
              </w:rPr>
              <w:t>Rinnovo della certificazione</w:t>
            </w:r>
          </w:p>
          <w:p w14:paraId="6380BFC4" w14:textId="7F99D011" w:rsidR="006A7227" w:rsidRDefault="006A7227" w:rsidP="003E3336">
            <w:pPr>
              <w:rPr>
                <w:rFonts w:eastAsia="Arial"/>
              </w:rPr>
            </w:pPr>
            <w:r w:rsidRPr="7FE4EE43">
              <w:rPr>
                <w:rFonts w:eastAsia="Arial"/>
              </w:rPr>
              <w:t>Il processo di rinnovo deve essere completato prima della scadenza del certificato.</w:t>
            </w:r>
          </w:p>
        </w:tc>
      </w:tr>
      <w:tr w:rsidR="006A7227" w14:paraId="6608AC09" w14:textId="77777777" w:rsidTr="003E3336">
        <w:trPr>
          <w:trHeight w:val="300"/>
        </w:trPr>
        <w:tc>
          <w:tcPr>
            <w:tcW w:w="3090" w:type="dxa"/>
            <w:tcBorders>
              <w:top w:val="nil"/>
              <w:left w:val="single" w:sz="8" w:space="0" w:color="auto"/>
              <w:bottom w:val="single" w:sz="8" w:space="0" w:color="auto"/>
              <w:right w:val="single" w:sz="8" w:space="0" w:color="auto"/>
            </w:tcBorders>
            <w:tcMar>
              <w:left w:w="108" w:type="dxa"/>
              <w:right w:w="108" w:type="dxa"/>
            </w:tcMar>
          </w:tcPr>
          <w:p w14:paraId="6E4FC882" w14:textId="77777777" w:rsidR="006A7227" w:rsidRDefault="006A7227" w:rsidP="003E3336">
            <w:pPr>
              <w:rPr>
                <w:rFonts w:eastAsia="Arial"/>
              </w:rPr>
            </w:pPr>
            <w:r w:rsidRPr="7FE4EE43">
              <w:rPr>
                <w:rFonts w:eastAsia="Arial"/>
              </w:rPr>
              <w:lastRenderedPageBreak/>
              <w:t>Punto 8. Requisiti del sistema di gestione</w:t>
            </w:r>
            <w:r>
              <w:rPr>
                <w:rFonts w:eastAsia="Arial"/>
              </w:rPr>
              <w:t xml:space="preserve"> </w:t>
            </w:r>
            <w:r w:rsidRPr="00B8160F">
              <w:rPr>
                <w:rFonts w:eastAsia="Arial"/>
              </w:rPr>
              <w:t>dell’Organismo</w:t>
            </w:r>
          </w:p>
        </w:tc>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05CC0D8E" w14:textId="77777777" w:rsidR="006A7227" w:rsidRDefault="006A7227" w:rsidP="003E3336">
            <w:pPr>
              <w:rPr>
                <w:rFonts w:eastAsia="Arial"/>
                <w:b/>
                <w:bCs/>
              </w:rPr>
            </w:pPr>
            <w:r w:rsidRPr="7FE4EE43">
              <w:rPr>
                <w:rFonts w:eastAsia="Arial"/>
                <w:b/>
                <w:bCs/>
              </w:rPr>
              <w:t xml:space="preserve"> </w:t>
            </w:r>
          </w:p>
        </w:tc>
        <w:tc>
          <w:tcPr>
            <w:tcW w:w="5992" w:type="dxa"/>
            <w:tcBorders>
              <w:top w:val="single" w:sz="8" w:space="0" w:color="auto"/>
              <w:left w:val="single" w:sz="8" w:space="0" w:color="auto"/>
              <w:bottom w:val="single" w:sz="8" w:space="0" w:color="auto"/>
              <w:right w:val="single" w:sz="8" w:space="0" w:color="auto"/>
            </w:tcBorders>
            <w:tcMar>
              <w:left w:w="108" w:type="dxa"/>
              <w:right w:w="108" w:type="dxa"/>
            </w:tcMar>
          </w:tcPr>
          <w:p w14:paraId="0030AA7A" w14:textId="4AD025E5" w:rsidR="006A7227" w:rsidRDefault="006A7227" w:rsidP="003E3336">
            <w:pPr>
              <w:rPr>
                <w:rFonts w:eastAsia="Arial"/>
              </w:rPr>
            </w:pPr>
            <w:r w:rsidRPr="00B8160F">
              <w:rPr>
                <w:rFonts w:eastAsia="Arial"/>
              </w:rPr>
              <w:t>Si applicano le prescrizioni dei § 8.1 o 8.2 della UNI CEI EN ISO/IEC 17065:2012</w:t>
            </w:r>
            <w:r w:rsidR="00B8160F">
              <w:rPr>
                <w:rFonts w:eastAsia="Arial"/>
              </w:rPr>
              <w:t>.</w:t>
            </w:r>
          </w:p>
        </w:tc>
      </w:tr>
    </w:tbl>
    <w:p w14:paraId="0551EBBC" w14:textId="65E7C328" w:rsidR="7FE4EE43" w:rsidRDefault="7FE4EE43" w:rsidP="006A7227">
      <w:pPr>
        <w:spacing w:before="240" w:after="240"/>
        <w:rPr>
          <w:b/>
          <w:bCs/>
        </w:rPr>
      </w:pPr>
    </w:p>
    <w:p w14:paraId="2E703C1C" w14:textId="71642AC0" w:rsidR="7FE4EE43" w:rsidRDefault="7FE4EE43" w:rsidP="7FE4EE43">
      <w:pPr>
        <w:spacing w:before="240" w:after="240"/>
      </w:pPr>
    </w:p>
    <w:p w14:paraId="15F2E6E4" w14:textId="10674924" w:rsidR="7FE4EE43" w:rsidRDefault="7FE4EE43" w:rsidP="7FE4EE43">
      <w:pPr>
        <w:spacing w:before="240" w:after="240"/>
      </w:pPr>
    </w:p>
    <w:p w14:paraId="4F5BF479" w14:textId="77777777" w:rsidR="00166842" w:rsidRPr="003128ED" w:rsidRDefault="00166842" w:rsidP="00166842"/>
    <w:p w14:paraId="7046E733" w14:textId="77777777" w:rsidR="007027E2" w:rsidRDefault="00CF6858" w:rsidP="007027E2">
      <w:pPr>
        <w:pStyle w:val="Titolo1"/>
        <w:numPr>
          <w:ilvl w:val="0"/>
          <w:numId w:val="0"/>
        </w:numPr>
        <w:spacing w:after="240"/>
        <w:ind w:left="432"/>
        <w:jc w:val="center"/>
        <w:rPr>
          <w:rFonts w:eastAsia="Arial Unicode MS" w:cs="Arial"/>
          <w:szCs w:val="22"/>
          <w:lang w:eastAsia="it-IT"/>
        </w:rPr>
      </w:pPr>
      <w:r w:rsidRPr="003128ED">
        <w:br w:type="page"/>
      </w:r>
      <w:bookmarkStart w:id="53" w:name="_Toc201141712"/>
      <w:r w:rsidR="00BC26B7" w:rsidRPr="003128ED">
        <w:rPr>
          <w:rFonts w:eastAsia="Arial Unicode MS" w:cs="Arial"/>
          <w:szCs w:val="22"/>
          <w:lang w:eastAsia="it-IT"/>
        </w:rPr>
        <w:lastRenderedPageBreak/>
        <w:t xml:space="preserve">APPENDICE </w:t>
      </w:r>
      <w:r w:rsidR="00BC26B7">
        <w:rPr>
          <w:rFonts w:eastAsia="Arial Unicode MS" w:cs="Arial"/>
          <w:szCs w:val="22"/>
          <w:lang w:eastAsia="it-IT"/>
        </w:rPr>
        <w:t>B</w:t>
      </w:r>
      <w:r w:rsidR="00BC26B7" w:rsidRPr="003128ED">
        <w:rPr>
          <w:rFonts w:eastAsia="Arial Unicode MS" w:cs="Arial"/>
          <w:szCs w:val="22"/>
          <w:lang w:eastAsia="it-IT"/>
        </w:rPr>
        <w:t xml:space="preserve"> – </w:t>
      </w:r>
      <w:r w:rsidR="00BC26B7">
        <w:rPr>
          <w:rFonts w:eastAsia="Arial Unicode MS" w:cs="Arial"/>
          <w:szCs w:val="22"/>
          <w:lang w:eastAsia="it-IT"/>
        </w:rPr>
        <w:t>FONDI EUROPEI</w:t>
      </w:r>
      <w:bookmarkEnd w:id="53"/>
      <w:r w:rsidR="00BC26B7">
        <w:rPr>
          <w:rFonts w:eastAsia="Arial Unicode MS" w:cs="Arial"/>
          <w:szCs w:val="22"/>
          <w:lang w:eastAsia="it-IT"/>
        </w:rPr>
        <w:t xml:space="preserve"> </w:t>
      </w:r>
      <w:r w:rsidR="007027E2">
        <w:rPr>
          <w:rFonts w:eastAsia="Arial Unicode MS" w:cs="Arial"/>
          <w:szCs w:val="22"/>
          <w:lang w:eastAsia="it-IT"/>
        </w:rPr>
        <w:t xml:space="preserve"> </w:t>
      </w:r>
    </w:p>
    <w:p w14:paraId="684D3B34" w14:textId="77FE426A" w:rsidR="00BC26B7" w:rsidRPr="003128ED" w:rsidRDefault="00BC26B7" w:rsidP="007027E2">
      <w:pPr>
        <w:pStyle w:val="Titolo1"/>
        <w:numPr>
          <w:ilvl w:val="0"/>
          <w:numId w:val="0"/>
        </w:numPr>
        <w:spacing w:after="240"/>
        <w:ind w:left="432"/>
        <w:jc w:val="center"/>
        <w:rPr>
          <w:rFonts w:eastAsia="Arial Unicode MS" w:cs="Arial"/>
          <w:szCs w:val="22"/>
          <w:lang w:eastAsia="it-IT"/>
        </w:rPr>
      </w:pPr>
      <w:bookmarkStart w:id="54" w:name="_Toc195288251"/>
      <w:bookmarkStart w:id="55" w:name="_Toc197938033"/>
      <w:bookmarkStart w:id="56" w:name="_Toc201141713"/>
      <w:r>
        <w:rPr>
          <w:rFonts w:eastAsia="Arial Unicode MS" w:cs="Arial"/>
          <w:szCs w:val="22"/>
          <w:lang w:eastAsia="it-IT"/>
        </w:rPr>
        <w:t>(informativa)</w:t>
      </w:r>
      <w:bookmarkEnd w:id="54"/>
      <w:bookmarkEnd w:id="55"/>
      <w:bookmarkEnd w:id="56"/>
    </w:p>
    <w:p w14:paraId="0115098A" w14:textId="20482046" w:rsidR="00713DA2" w:rsidRDefault="00713DA2" w:rsidP="00713DA2">
      <w:pPr>
        <w:spacing w:line="240" w:lineRule="auto"/>
        <w:jc w:val="left"/>
      </w:pPr>
      <w:r w:rsidRPr="00713DA2">
        <w:t>I Fondi</w:t>
      </w:r>
      <w:r w:rsidR="00366CB3">
        <w:rPr>
          <w:rStyle w:val="Rimandonotaapidipagina"/>
        </w:rPr>
        <w:footnoteReference w:id="34"/>
      </w:r>
      <w:r w:rsidRPr="00713DA2">
        <w:t xml:space="preserve"> strutturali e di investimento europei (Fondi SIE) sono i principali strumenti finanziari della politica regionale dell’Unione europea il cui scopo è quello di rafforzare la coesione economica, sociale e territoriale riducendo il divario fra le regioni più avanzate e quelle in ritardo di sviluppo (art. 174 TFUE)</w:t>
      </w:r>
      <w:r w:rsidR="00366CB3">
        <w:t>:</w:t>
      </w:r>
    </w:p>
    <w:p w14:paraId="738A6B6D" w14:textId="77777777" w:rsidR="00366CB3" w:rsidRPr="00713DA2" w:rsidRDefault="00366CB3" w:rsidP="00713DA2">
      <w:pPr>
        <w:spacing w:line="240" w:lineRule="auto"/>
        <w:jc w:val="left"/>
      </w:pPr>
    </w:p>
    <w:p w14:paraId="1F1B9D78" w14:textId="0A0802EB" w:rsidR="00713DA2" w:rsidRPr="00FB2420" w:rsidRDefault="00713DA2" w:rsidP="00383B43">
      <w:pPr>
        <w:pStyle w:val="Paragrafoelenco"/>
        <w:numPr>
          <w:ilvl w:val="0"/>
          <w:numId w:val="12"/>
        </w:numPr>
        <w:spacing w:line="240" w:lineRule="auto"/>
        <w:jc w:val="left"/>
        <w:rPr>
          <w:b w:val="0"/>
          <w:bCs/>
        </w:rPr>
      </w:pPr>
      <w:r w:rsidRPr="00FB2420">
        <w:rPr>
          <w:b w:val="0"/>
          <w:bCs/>
        </w:rPr>
        <w:t xml:space="preserve">FESR </w:t>
      </w:r>
      <w:r w:rsidR="00011C7A">
        <w:rPr>
          <w:b w:val="0"/>
          <w:bCs/>
        </w:rPr>
        <w:t>(</w:t>
      </w:r>
      <w:r w:rsidRPr="00FB2420">
        <w:rPr>
          <w:b w:val="0"/>
          <w:bCs/>
        </w:rPr>
        <w:t>Fondo Europeo di Sviluppo Regionale</w:t>
      </w:r>
      <w:r w:rsidR="00011C7A">
        <w:rPr>
          <w:b w:val="0"/>
          <w:bCs/>
        </w:rPr>
        <w:t>)</w:t>
      </w:r>
    </w:p>
    <w:p w14:paraId="0174D020" w14:textId="65146094" w:rsidR="00713DA2" w:rsidRPr="00FB2420" w:rsidRDefault="00713DA2" w:rsidP="00383B43">
      <w:pPr>
        <w:pStyle w:val="Paragrafoelenco"/>
        <w:numPr>
          <w:ilvl w:val="0"/>
          <w:numId w:val="12"/>
        </w:numPr>
        <w:spacing w:line="240" w:lineRule="auto"/>
        <w:jc w:val="left"/>
        <w:rPr>
          <w:b w:val="0"/>
          <w:bCs/>
        </w:rPr>
      </w:pPr>
      <w:r w:rsidRPr="00FB2420">
        <w:rPr>
          <w:b w:val="0"/>
          <w:bCs/>
        </w:rPr>
        <w:t>FSE</w:t>
      </w:r>
      <w:r w:rsidR="00FB2420">
        <w:rPr>
          <w:b w:val="0"/>
          <w:bCs/>
        </w:rPr>
        <w:t xml:space="preserve"> </w:t>
      </w:r>
      <w:r w:rsidRPr="00FB2420">
        <w:rPr>
          <w:b w:val="0"/>
          <w:bCs/>
        </w:rPr>
        <w:t xml:space="preserve">+ </w:t>
      </w:r>
      <w:r w:rsidR="00011C7A">
        <w:rPr>
          <w:b w:val="0"/>
          <w:bCs/>
        </w:rPr>
        <w:t>(</w:t>
      </w:r>
      <w:r w:rsidRPr="00FB2420">
        <w:rPr>
          <w:b w:val="0"/>
          <w:bCs/>
        </w:rPr>
        <w:t>Fondo Sociale Europeo Plus</w:t>
      </w:r>
      <w:r w:rsidR="00011C7A">
        <w:rPr>
          <w:b w:val="0"/>
          <w:bCs/>
        </w:rPr>
        <w:t>)</w:t>
      </w:r>
    </w:p>
    <w:p w14:paraId="79611E32" w14:textId="5DD044A0" w:rsidR="00713DA2" w:rsidRPr="00FB2420" w:rsidRDefault="00713DA2" w:rsidP="00383B43">
      <w:pPr>
        <w:pStyle w:val="Paragrafoelenco"/>
        <w:numPr>
          <w:ilvl w:val="0"/>
          <w:numId w:val="12"/>
        </w:numPr>
        <w:spacing w:line="240" w:lineRule="auto"/>
        <w:jc w:val="left"/>
        <w:rPr>
          <w:b w:val="0"/>
          <w:bCs/>
        </w:rPr>
      </w:pPr>
      <w:r w:rsidRPr="00FB2420">
        <w:rPr>
          <w:b w:val="0"/>
          <w:bCs/>
        </w:rPr>
        <w:t xml:space="preserve">FEASR </w:t>
      </w:r>
      <w:r w:rsidR="00011C7A">
        <w:rPr>
          <w:b w:val="0"/>
          <w:bCs/>
        </w:rPr>
        <w:t>(</w:t>
      </w:r>
      <w:r w:rsidRPr="00FB2420">
        <w:rPr>
          <w:b w:val="0"/>
          <w:bCs/>
        </w:rPr>
        <w:t>Fondo Europeo Agricolo di Sviluppo Rurale</w:t>
      </w:r>
      <w:r w:rsidR="00011C7A">
        <w:rPr>
          <w:b w:val="0"/>
          <w:bCs/>
        </w:rPr>
        <w:t>)</w:t>
      </w:r>
    </w:p>
    <w:p w14:paraId="1A2EBE94" w14:textId="1991B2E2" w:rsidR="00383B43" w:rsidRPr="00FB2420" w:rsidRDefault="00713DA2" w:rsidP="000A1A48">
      <w:pPr>
        <w:pStyle w:val="Paragrafoelenco"/>
        <w:numPr>
          <w:ilvl w:val="0"/>
          <w:numId w:val="12"/>
        </w:numPr>
        <w:spacing w:line="240" w:lineRule="auto"/>
        <w:jc w:val="left"/>
        <w:rPr>
          <w:b w:val="0"/>
          <w:bCs/>
        </w:rPr>
      </w:pPr>
      <w:r w:rsidRPr="00FB2420">
        <w:rPr>
          <w:b w:val="0"/>
          <w:bCs/>
        </w:rPr>
        <w:t xml:space="preserve">FEAMP </w:t>
      </w:r>
      <w:r w:rsidR="00011C7A">
        <w:rPr>
          <w:b w:val="0"/>
          <w:bCs/>
        </w:rPr>
        <w:t>(</w:t>
      </w:r>
      <w:r w:rsidRPr="00FB2420">
        <w:rPr>
          <w:b w:val="0"/>
          <w:bCs/>
        </w:rPr>
        <w:t>Fondo europeo per gli affari marittimi, la pesca e l'acquacoltura</w:t>
      </w:r>
      <w:r w:rsidR="00011C7A">
        <w:rPr>
          <w:b w:val="0"/>
          <w:bCs/>
        </w:rPr>
        <w:t>)</w:t>
      </w:r>
    </w:p>
    <w:p w14:paraId="5E01FED5" w14:textId="76662700" w:rsidR="00713DA2" w:rsidRPr="00FB2420" w:rsidRDefault="000A1A48" w:rsidP="00713DA2">
      <w:pPr>
        <w:spacing w:line="240" w:lineRule="auto"/>
        <w:jc w:val="left"/>
        <w:rPr>
          <w:bCs/>
          <w:sz w:val="20"/>
          <w:szCs w:val="20"/>
        </w:rPr>
      </w:pPr>
      <w:r w:rsidRPr="00FB2420">
        <w:rPr>
          <w:bCs/>
          <w:sz w:val="20"/>
          <w:szCs w:val="20"/>
        </w:rPr>
        <w:t>NOTA</w:t>
      </w:r>
      <w:r w:rsidR="006E6EC2" w:rsidRPr="00FB2420">
        <w:rPr>
          <w:bCs/>
          <w:sz w:val="20"/>
          <w:szCs w:val="20"/>
        </w:rPr>
        <w:t xml:space="preserve"> 1</w:t>
      </w:r>
      <w:r w:rsidRPr="00FB2420">
        <w:rPr>
          <w:bCs/>
          <w:sz w:val="20"/>
          <w:szCs w:val="20"/>
        </w:rPr>
        <w:tab/>
      </w:r>
      <w:r w:rsidR="00713DA2" w:rsidRPr="00FB2420">
        <w:rPr>
          <w:bCs/>
          <w:sz w:val="20"/>
          <w:szCs w:val="20"/>
        </w:rPr>
        <w:t>Si realizzano attraverso PON Programmi Operativi Nazionali e POR P. O. Regionali</w:t>
      </w:r>
    </w:p>
    <w:p w14:paraId="0D9A13FD" w14:textId="034575EB" w:rsidR="00713DA2" w:rsidRPr="00FB2420" w:rsidRDefault="00713DA2" w:rsidP="000A1A48">
      <w:pPr>
        <w:spacing w:line="240" w:lineRule="auto"/>
        <w:ind w:firstLine="794"/>
        <w:jc w:val="left"/>
        <w:rPr>
          <w:bCs/>
          <w:sz w:val="20"/>
          <w:szCs w:val="20"/>
        </w:rPr>
      </w:pPr>
      <w:r w:rsidRPr="00FB2420">
        <w:rPr>
          <w:bCs/>
          <w:sz w:val="20"/>
          <w:szCs w:val="20"/>
        </w:rPr>
        <w:t>Sono cofinanziati da Stato e Regioni</w:t>
      </w:r>
      <w:r w:rsidR="000A1A48" w:rsidRPr="00FB2420">
        <w:rPr>
          <w:bCs/>
          <w:sz w:val="20"/>
          <w:szCs w:val="20"/>
        </w:rPr>
        <w:t>.</w:t>
      </w:r>
    </w:p>
    <w:p w14:paraId="6AFD85E2" w14:textId="77777777" w:rsidR="00713DA2" w:rsidRPr="00FB2420" w:rsidRDefault="00713DA2" w:rsidP="00713DA2">
      <w:pPr>
        <w:spacing w:line="240" w:lineRule="auto"/>
        <w:jc w:val="left"/>
        <w:rPr>
          <w:bCs/>
        </w:rPr>
      </w:pPr>
    </w:p>
    <w:p w14:paraId="53FBDB91" w14:textId="65FE8117" w:rsidR="00713DA2" w:rsidRPr="00011C7A" w:rsidRDefault="00713DA2" w:rsidP="00713DA2">
      <w:pPr>
        <w:pStyle w:val="Paragrafoelenco"/>
        <w:numPr>
          <w:ilvl w:val="0"/>
          <w:numId w:val="12"/>
        </w:numPr>
        <w:spacing w:line="240" w:lineRule="auto"/>
        <w:jc w:val="left"/>
        <w:rPr>
          <w:b w:val="0"/>
          <w:bCs/>
        </w:rPr>
      </w:pPr>
      <w:r w:rsidRPr="00FB2420">
        <w:rPr>
          <w:b w:val="0"/>
          <w:bCs/>
        </w:rPr>
        <w:t xml:space="preserve">PNRR </w:t>
      </w:r>
      <w:r w:rsidR="00011C7A">
        <w:rPr>
          <w:b w:val="0"/>
          <w:bCs/>
        </w:rPr>
        <w:t>(</w:t>
      </w:r>
      <w:r w:rsidRPr="00FB2420">
        <w:rPr>
          <w:b w:val="0"/>
          <w:bCs/>
        </w:rPr>
        <w:t>Piano Nazionale di Ripresa e Resilienza</w:t>
      </w:r>
      <w:r w:rsidR="00011C7A">
        <w:rPr>
          <w:b w:val="0"/>
          <w:bCs/>
        </w:rPr>
        <w:t>)</w:t>
      </w:r>
      <w:r w:rsidRPr="00FB2420">
        <w:rPr>
          <w:b w:val="0"/>
          <w:bCs/>
        </w:rPr>
        <w:t xml:space="preserve"> e PC (Programmi Complementari)</w:t>
      </w:r>
    </w:p>
    <w:p w14:paraId="608EDFAE" w14:textId="72F3EA15" w:rsidR="00713DA2" w:rsidRPr="00FB2420" w:rsidRDefault="00713DA2" w:rsidP="000621BA">
      <w:pPr>
        <w:pStyle w:val="Paragrafoelenco"/>
        <w:numPr>
          <w:ilvl w:val="0"/>
          <w:numId w:val="22"/>
        </w:numPr>
        <w:spacing w:line="240" w:lineRule="auto"/>
        <w:jc w:val="left"/>
        <w:rPr>
          <w:b w:val="0"/>
          <w:bCs/>
        </w:rPr>
      </w:pPr>
      <w:r w:rsidRPr="099806E9">
        <w:rPr>
          <w:b w:val="0"/>
        </w:rPr>
        <w:t>FSC</w:t>
      </w:r>
      <w:r w:rsidR="00011C7A" w:rsidRPr="099806E9">
        <w:rPr>
          <w:rStyle w:val="Rimandonotaapidipagina"/>
          <w:b w:val="0"/>
        </w:rPr>
        <w:footnoteReference w:id="35"/>
      </w:r>
      <w:r w:rsidRPr="099806E9">
        <w:rPr>
          <w:b w:val="0"/>
        </w:rPr>
        <w:t xml:space="preserve"> </w:t>
      </w:r>
      <w:r w:rsidR="00011C7A" w:rsidRPr="099806E9">
        <w:rPr>
          <w:b w:val="0"/>
        </w:rPr>
        <w:t>(</w:t>
      </w:r>
      <w:r w:rsidRPr="099806E9">
        <w:rPr>
          <w:b w:val="0"/>
        </w:rPr>
        <w:t>Fondo per lo Sviluppo e la Coesione</w:t>
      </w:r>
      <w:r w:rsidR="00011C7A" w:rsidRPr="099806E9">
        <w:rPr>
          <w:b w:val="0"/>
        </w:rPr>
        <w:t>)</w:t>
      </w:r>
      <w:r w:rsidRPr="099806E9">
        <w:rPr>
          <w:b w:val="0"/>
        </w:rPr>
        <w:t xml:space="preserve"> e POC </w:t>
      </w:r>
      <w:r w:rsidR="00011C7A" w:rsidRPr="099806E9">
        <w:rPr>
          <w:b w:val="0"/>
        </w:rPr>
        <w:t>(</w:t>
      </w:r>
      <w:r w:rsidRPr="099806E9">
        <w:rPr>
          <w:b w:val="0"/>
        </w:rPr>
        <w:t>Programma Operativo Complementare</w:t>
      </w:r>
      <w:r w:rsidR="00011C7A" w:rsidRPr="099806E9">
        <w:rPr>
          <w:b w:val="0"/>
        </w:rPr>
        <w:t>)</w:t>
      </w:r>
    </w:p>
    <w:p w14:paraId="385F921B" w14:textId="11D25E0B" w:rsidR="00F57930" w:rsidRPr="003128ED" w:rsidRDefault="00F57930">
      <w:pPr>
        <w:spacing w:line="240" w:lineRule="auto"/>
        <w:jc w:val="left"/>
      </w:pPr>
    </w:p>
    <w:p w14:paraId="0E57CE71" w14:textId="39450CC5" w:rsidR="00F56A9A" w:rsidRPr="005159B7" w:rsidRDefault="00275E41" w:rsidP="005159B7">
      <w:pPr>
        <w:pStyle w:val="Titolo1"/>
        <w:numPr>
          <w:ilvl w:val="0"/>
          <w:numId w:val="0"/>
        </w:numPr>
        <w:spacing w:after="240"/>
        <w:jc w:val="center"/>
        <w:rPr>
          <w:rFonts w:eastAsia="Arial Unicode MS" w:cs="Arial"/>
          <w:szCs w:val="22"/>
          <w:lang w:eastAsia="it-IT"/>
        </w:rPr>
      </w:pPr>
      <w:bookmarkStart w:id="57" w:name="_Toc343697294"/>
      <w:bookmarkStart w:id="58" w:name="_Toc201141714"/>
      <w:r w:rsidRPr="003128ED">
        <w:rPr>
          <w:rFonts w:eastAsia="Arial Unicode MS" w:cs="Arial"/>
          <w:szCs w:val="22"/>
          <w:lang w:eastAsia="it-IT"/>
        </w:rPr>
        <w:t>BIBLIOGRAFIA</w:t>
      </w:r>
      <w:bookmarkEnd w:id="57"/>
      <w:bookmarkEnd w:id="58"/>
    </w:p>
    <w:p w14:paraId="2C221424" w14:textId="495E9CA2" w:rsidR="00F13AEF" w:rsidRPr="00F56A9A" w:rsidRDefault="00F13AEF" w:rsidP="00F56A9A">
      <w:pPr>
        <w:pStyle w:val="Paragrafoelenco"/>
        <w:numPr>
          <w:ilvl w:val="0"/>
          <w:numId w:val="12"/>
        </w:numPr>
        <w:spacing w:before="100" w:line="240" w:lineRule="auto"/>
        <w:rPr>
          <w:rFonts w:eastAsia="Arial Unicode MS"/>
          <w:bCs/>
        </w:rPr>
      </w:pPr>
      <w:r w:rsidRPr="00F56A9A">
        <w:rPr>
          <w:rFonts w:eastAsia="Arial Unicode MS"/>
          <w:bCs/>
        </w:rPr>
        <w:t>Legge 26 agosto 1950, n. 860</w:t>
      </w:r>
    </w:p>
    <w:p w14:paraId="326B6D7D" w14:textId="103993AC" w:rsidR="00F13AEF" w:rsidRPr="00F43FB7" w:rsidRDefault="00F13AEF" w:rsidP="00F13AEF">
      <w:pPr>
        <w:keepNext/>
        <w:shd w:val="clear" w:color="auto" w:fill="FFFFFF"/>
        <w:tabs>
          <w:tab w:val="left" w:pos="567"/>
          <w:tab w:val="left" w:pos="880"/>
        </w:tabs>
        <w:suppressAutoHyphens/>
        <w:spacing w:line="312" w:lineRule="atLeast"/>
        <w:ind w:left="720"/>
        <w:outlineLvl w:val="2"/>
        <w:rPr>
          <w:rFonts w:eastAsia="Arial Unicode MS"/>
        </w:rPr>
      </w:pPr>
      <w:bookmarkStart w:id="59" w:name="_Toc195288089"/>
      <w:bookmarkStart w:id="60" w:name="_Toc195288239"/>
      <w:bookmarkStart w:id="61" w:name="_Toc197938035"/>
      <w:bookmarkStart w:id="62" w:name="_Toc201141715"/>
      <w:r w:rsidRPr="00F43FB7">
        <w:rPr>
          <w:rFonts w:eastAsia="Arial Unicode MS"/>
        </w:rPr>
        <w:t>Tutela fisica ed economica delle lavoratrici madri.</w:t>
      </w:r>
      <w:bookmarkEnd w:id="59"/>
      <w:bookmarkEnd w:id="60"/>
      <w:bookmarkEnd w:id="61"/>
      <w:bookmarkEnd w:id="62"/>
    </w:p>
    <w:p w14:paraId="5E542807" w14:textId="26A71DFC" w:rsidR="00F13AEF" w:rsidRPr="00F56A9A" w:rsidRDefault="00F13AEF" w:rsidP="00F56A9A">
      <w:pPr>
        <w:pStyle w:val="Paragrafoelenco"/>
        <w:numPr>
          <w:ilvl w:val="0"/>
          <w:numId w:val="12"/>
        </w:numPr>
        <w:spacing w:before="100" w:line="240" w:lineRule="auto"/>
        <w:rPr>
          <w:rFonts w:eastAsia="Arial Unicode MS"/>
          <w:bCs/>
        </w:rPr>
      </w:pPr>
      <w:r w:rsidRPr="00F56A9A">
        <w:rPr>
          <w:rFonts w:eastAsia="Arial Unicode MS"/>
          <w:bCs/>
        </w:rPr>
        <w:t xml:space="preserve">Legge 9 febbraio 1963 n. 66 </w:t>
      </w:r>
    </w:p>
    <w:p w14:paraId="5D9089A8" w14:textId="77777777" w:rsidR="00F13AEF" w:rsidRPr="00F43FB7" w:rsidRDefault="00F13AEF" w:rsidP="00F13AEF">
      <w:pPr>
        <w:spacing w:before="100" w:line="240" w:lineRule="auto"/>
        <w:ind w:left="720"/>
        <w:rPr>
          <w:rFonts w:eastAsia="Arial Unicode MS"/>
        </w:rPr>
      </w:pPr>
      <w:r w:rsidRPr="00F43FB7">
        <w:rPr>
          <w:rFonts w:eastAsia="Arial Unicode MS"/>
        </w:rPr>
        <w:t>Ammissione delle donne ai pubblici uffici e alle professioni.</w:t>
      </w:r>
    </w:p>
    <w:p w14:paraId="0CFDC834" w14:textId="249561A7" w:rsidR="00F13AEF" w:rsidRPr="00F56A9A" w:rsidRDefault="00F13AEF" w:rsidP="00F56A9A">
      <w:pPr>
        <w:pStyle w:val="Paragrafoelenco"/>
        <w:numPr>
          <w:ilvl w:val="0"/>
          <w:numId w:val="12"/>
        </w:numPr>
        <w:spacing w:before="100" w:line="240" w:lineRule="auto"/>
        <w:rPr>
          <w:rFonts w:eastAsia="Arial Unicode MS"/>
          <w:bCs/>
        </w:rPr>
      </w:pPr>
      <w:r w:rsidRPr="00F56A9A">
        <w:rPr>
          <w:rFonts w:eastAsia="Arial Unicode MS"/>
          <w:bCs/>
        </w:rPr>
        <w:t xml:space="preserve">Legge 20 maggio 1970, n. 300 </w:t>
      </w:r>
    </w:p>
    <w:p w14:paraId="7EF62204" w14:textId="77777777" w:rsidR="00F13AEF" w:rsidRPr="00F43FB7" w:rsidRDefault="00F13AEF" w:rsidP="00F13AEF">
      <w:pPr>
        <w:spacing w:before="100" w:line="240" w:lineRule="auto"/>
        <w:ind w:left="720"/>
        <w:rPr>
          <w:rFonts w:eastAsia="Arial Unicode MS"/>
        </w:rPr>
      </w:pPr>
      <w:r w:rsidRPr="00F43FB7">
        <w:rPr>
          <w:rFonts w:eastAsia="Arial Unicode MS"/>
        </w:rPr>
        <w:t>Norme sulla tutela della libertà e dignità dei lavoratori, della libertà sindacale e dell’attività sindacale, nei luoghi di lavoro e norme sul collocamento.</w:t>
      </w:r>
    </w:p>
    <w:p w14:paraId="4383FD52" w14:textId="5FB4CFA0" w:rsidR="00F13AEF" w:rsidRPr="005159B7" w:rsidRDefault="00F13AEF" w:rsidP="005159B7">
      <w:pPr>
        <w:pStyle w:val="Paragrafoelenco"/>
        <w:numPr>
          <w:ilvl w:val="0"/>
          <w:numId w:val="12"/>
        </w:numPr>
        <w:spacing w:before="100" w:line="240" w:lineRule="auto"/>
        <w:rPr>
          <w:rFonts w:eastAsia="Arial Unicode MS"/>
        </w:rPr>
      </w:pPr>
      <w:r w:rsidRPr="005159B7">
        <w:rPr>
          <w:rFonts w:eastAsia="Arial Unicode MS"/>
          <w:bCs/>
        </w:rPr>
        <w:t>Legge</w:t>
      </w:r>
      <w:r w:rsidRPr="005159B7">
        <w:rPr>
          <w:rFonts w:eastAsia="Arial Unicode MS"/>
        </w:rPr>
        <w:t xml:space="preserve"> </w:t>
      </w:r>
      <w:r w:rsidRPr="005159B7">
        <w:rPr>
          <w:rFonts w:eastAsia="Arial Unicode MS"/>
          <w:bCs/>
        </w:rPr>
        <w:t>30 dicembre 1971, n. 1204</w:t>
      </w:r>
      <w:r w:rsidRPr="005159B7">
        <w:rPr>
          <w:rFonts w:eastAsia="Arial Unicode MS"/>
        </w:rPr>
        <w:t xml:space="preserve"> </w:t>
      </w:r>
    </w:p>
    <w:p w14:paraId="399A1505" w14:textId="77777777" w:rsidR="00F13AEF" w:rsidRPr="00F43FB7" w:rsidRDefault="00F13AEF" w:rsidP="00F13AEF">
      <w:pPr>
        <w:spacing w:before="100" w:line="240" w:lineRule="auto"/>
        <w:ind w:left="720"/>
        <w:rPr>
          <w:rFonts w:eastAsia="Arial Unicode MS"/>
        </w:rPr>
      </w:pPr>
      <w:r w:rsidRPr="00F43FB7">
        <w:rPr>
          <w:rFonts w:eastAsia="Arial Unicode MS"/>
        </w:rPr>
        <w:t>Tutela delle lavoratrici madri.</w:t>
      </w:r>
    </w:p>
    <w:p w14:paraId="67253FAC" w14:textId="4CBA0ECC" w:rsidR="00F13AEF" w:rsidRPr="005159B7" w:rsidRDefault="00F13AEF" w:rsidP="005159B7">
      <w:pPr>
        <w:pStyle w:val="Paragrafoelenco"/>
        <w:numPr>
          <w:ilvl w:val="0"/>
          <w:numId w:val="12"/>
        </w:numPr>
        <w:spacing w:before="100" w:line="240" w:lineRule="auto"/>
        <w:rPr>
          <w:rFonts w:eastAsia="Arial Unicode MS"/>
          <w:bCs/>
        </w:rPr>
      </w:pPr>
      <w:r w:rsidRPr="005159B7">
        <w:rPr>
          <w:rFonts w:eastAsia="Arial Unicode MS"/>
          <w:bCs/>
        </w:rPr>
        <w:t>Legge 10 aprile 1991, n. 125 </w:t>
      </w:r>
    </w:p>
    <w:p w14:paraId="1B08A80A" w14:textId="77777777" w:rsidR="00F13AEF" w:rsidRPr="00F43FB7" w:rsidRDefault="00F13AEF" w:rsidP="00F13AEF">
      <w:pPr>
        <w:spacing w:before="100" w:line="240" w:lineRule="auto"/>
        <w:ind w:left="720"/>
        <w:rPr>
          <w:rFonts w:eastAsia="Arial Unicode MS"/>
        </w:rPr>
      </w:pPr>
      <w:r w:rsidRPr="00F43FB7">
        <w:rPr>
          <w:rFonts w:eastAsia="Arial Unicode MS"/>
        </w:rPr>
        <w:t>Azioni positive per la realizzazione della parità uomo-donna nel lavoro.</w:t>
      </w:r>
    </w:p>
    <w:p w14:paraId="36235975" w14:textId="687E96E2" w:rsidR="00F13AEF" w:rsidRPr="005159B7" w:rsidRDefault="00F13AEF" w:rsidP="005159B7">
      <w:pPr>
        <w:pStyle w:val="Paragrafoelenco"/>
        <w:numPr>
          <w:ilvl w:val="0"/>
          <w:numId w:val="12"/>
        </w:numPr>
        <w:spacing w:before="100" w:line="240" w:lineRule="auto"/>
        <w:rPr>
          <w:rFonts w:eastAsia="Arial Unicode MS"/>
          <w:bCs/>
        </w:rPr>
      </w:pPr>
      <w:r w:rsidRPr="005159B7">
        <w:rPr>
          <w:rFonts w:eastAsia="Arial Unicode MS"/>
          <w:bCs/>
        </w:rPr>
        <w:t>Legge 25 febbraio 1992, n. 215</w:t>
      </w:r>
    </w:p>
    <w:p w14:paraId="052B9E78" w14:textId="77777777" w:rsidR="00F13AEF" w:rsidRPr="00F43FB7" w:rsidRDefault="00F13AEF" w:rsidP="00F13AEF">
      <w:pPr>
        <w:spacing w:before="100" w:line="240" w:lineRule="auto"/>
        <w:ind w:left="720"/>
        <w:rPr>
          <w:rFonts w:eastAsia="Arial Unicode MS"/>
        </w:rPr>
      </w:pPr>
      <w:r w:rsidRPr="00F43FB7">
        <w:rPr>
          <w:rFonts w:eastAsia="Arial Unicode MS"/>
        </w:rPr>
        <w:t>Azioni positive per l'imprenditoria femminile.</w:t>
      </w:r>
    </w:p>
    <w:p w14:paraId="756B2793" w14:textId="50D0AAA3" w:rsidR="00F13AEF" w:rsidRPr="005159B7" w:rsidRDefault="00F13AEF" w:rsidP="005159B7">
      <w:pPr>
        <w:pStyle w:val="Paragrafoelenco"/>
        <w:numPr>
          <w:ilvl w:val="0"/>
          <w:numId w:val="12"/>
        </w:numPr>
        <w:spacing w:before="100" w:line="240" w:lineRule="auto"/>
        <w:rPr>
          <w:rFonts w:eastAsia="Arial Unicode MS"/>
        </w:rPr>
      </w:pPr>
      <w:r w:rsidRPr="005159B7">
        <w:rPr>
          <w:rFonts w:eastAsia="Arial Unicode MS"/>
          <w:bCs/>
        </w:rPr>
        <w:t>Legge</w:t>
      </w:r>
      <w:r w:rsidRPr="005159B7">
        <w:rPr>
          <w:rFonts w:eastAsia="Arial Unicode MS"/>
        </w:rPr>
        <w:t xml:space="preserve"> </w:t>
      </w:r>
      <w:r w:rsidRPr="005159B7">
        <w:rPr>
          <w:rFonts w:eastAsia="Arial Unicode MS"/>
          <w:bCs/>
        </w:rPr>
        <w:t>8 marzo 2000, n. 53</w:t>
      </w:r>
    </w:p>
    <w:p w14:paraId="2ADA2545" w14:textId="77777777" w:rsidR="00F13AEF" w:rsidRPr="00F43FB7" w:rsidRDefault="00F13AEF" w:rsidP="00F13AEF">
      <w:pPr>
        <w:spacing w:before="100" w:line="240" w:lineRule="auto"/>
        <w:ind w:left="720"/>
        <w:rPr>
          <w:rFonts w:eastAsia="Arial Unicode MS"/>
        </w:rPr>
      </w:pPr>
      <w:r w:rsidRPr="00F43FB7">
        <w:rPr>
          <w:rFonts w:eastAsia="Arial Unicode MS"/>
        </w:rPr>
        <w:t>Disposizioni per il sostegno della maternità e della paternità, per il diritto alla cura e alla formazione e per il coordinamento dei tempi delle città.</w:t>
      </w:r>
    </w:p>
    <w:p w14:paraId="0DD48D14" w14:textId="24328406" w:rsidR="00F13AEF" w:rsidRPr="005159B7" w:rsidRDefault="00F13AEF" w:rsidP="005159B7">
      <w:pPr>
        <w:pStyle w:val="Paragrafoelenco"/>
        <w:numPr>
          <w:ilvl w:val="0"/>
          <w:numId w:val="12"/>
        </w:numPr>
        <w:spacing w:before="100" w:line="240" w:lineRule="auto"/>
        <w:rPr>
          <w:rFonts w:eastAsia="Arial Unicode MS"/>
          <w:bCs/>
        </w:rPr>
      </w:pPr>
      <w:r w:rsidRPr="005159B7">
        <w:rPr>
          <w:rFonts w:eastAsia="Arial Unicode MS"/>
          <w:bCs/>
        </w:rPr>
        <w:lastRenderedPageBreak/>
        <w:t>Legge 21 novembre 2000, n. 342</w:t>
      </w:r>
    </w:p>
    <w:p w14:paraId="2E34F6E8" w14:textId="77777777" w:rsidR="00F13AEF" w:rsidRDefault="00F13AEF" w:rsidP="00F13AEF">
      <w:pPr>
        <w:spacing w:before="100" w:line="240" w:lineRule="auto"/>
        <w:ind w:left="720"/>
        <w:rPr>
          <w:rFonts w:eastAsia="Arial Unicode MS"/>
        </w:rPr>
      </w:pPr>
      <w:r w:rsidRPr="00F43FB7">
        <w:rPr>
          <w:rFonts w:eastAsia="Arial Unicode MS"/>
        </w:rPr>
        <w:t>Misure in materia fiscale.</w:t>
      </w:r>
    </w:p>
    <w:p w14:paraId="0DA66113" w14:textId="6AC92703" w:rsidR="00F13AEF" w:rsidRPr="005159B7" w:rsidRDefault="00F13AEF" w:rsidP="005159B7">
      <w:pPr>
        <w:pStyle w:val="Paragrafoelenco"/>
        <w:numPr>
          <w:ilvl w:val="0"/>
          <w:numId w:val="12"/>
        </w:numPr>
        <w:spacing w:before="100" w:line="240" w:lineRule="auto"/>
        <w:rPr>
          <w:rFonts w:eastAsia="Arial Unicode MS"/>
          <w:bCs/>
        </w:rPr>
      </w:pPr>
      <w:r w:rsidRPr="005159B7">
        <w:rPr>
          <w:rFonts w:eastAsia="Arial Unicode MS"/>
          <w:bCs/>
        </w:rPr>
        <w:t>Direttiva del 23 maggio 2007</w:t>
      </w:r>
    </w:p>
    <w:p w14:paraId="42E6D674" w14:textId="77777777" w:rsidR="00F13AEF" w:rsidRPr="00F13AEF" w:rsidRDefault="00F13AEF" w:rsidP="00F13AEF">
      <w:pPr>
        <w:spacing w:before="100" w:line="240" w:lineRule="auto"/>
        <w:ind w:left="720"/>
        <w:rPr>
          <w:rFonts w:eastAsia="Arial Unicode MS"/>
        </w:rPr>
      </w:pPr>
      <w:r w:rsidRPr="00F13AEF">
        <w:rPr>
          <w:rFonts w:eastAsia="Arial Unicode MS"/>
        </w:rPr>
        <w:t xml:space="preserve">Misure per attuare parità e pari opportunità tra uomini e donne nelle amministrazioni pubbliche, adottata dal Ministro per le riforme e le innovazioni nella pubblica amministrazione e dal Ministro per i diritti e le pari opportunità. </w:t>
      </w:r>
    </w:p>
    <w:p w14:paraId="2CBDF958" w14:textId="71C65E99" w:rsidR="00F13AEF" w:rsidRPr="005159B7" w:rsidRDefault="00F13AEF" w:rsidP="005159B7">
      <w:pPr>
        <w:pStyle w:val="Paragrafoelenco"/>
        <w:numPr>
          <w:ilvl w:val="0"/>
          <w:numId w:val="12"/>
        </w:numPr>
        <w:spacing w:before="100" w:line="240" w:lineRule="auto"/>
        <w:rPr>
          <w:rFonts w:eastAsia="Arial Unicode MS"/>
          <w:bCs/>
        </w:rPr>
      </w:pPr>
      <w:r w:rsidRPr="005159B7">
        <w:rPr>
          <w:rFonts w:eastAsia="Arial Unicode MS"/>
          <w:bCs/>
        </w:rPr>
        <w:t>Raccomandazione</w:t>
      </w:r>
      <w:r w:rsidRPr="005159B7">
        <w:rPr>
          <w:rFonts w:eastAsia="Arial Unicode MS"/>
        </w:rPr>
        <w:t xml:space="preserve"> </w:t>
      </w:r>
      <w:r w:rsidRPr="005159B7">
        <w:rPr>
          <w:rFonts w:eastAsia="Arial Unicode MS"/>
          <w:bCs/>
        </w:rPr>
        <w:t>del Comitato dei Ministri, CM/</w:t>
      </w:r>
      <w:proofErr w:type="spellStart"/>
      <w:r w:rsidRPr="005159B7">
        <w:rPr>
          <w:rFonts w:eastAsia="Arial Unicode MS"/>
          <w:bCs/>
        </w:rPr>
        <w:t>Rec</w:t>
      </w:r>
      <w:proofErr w:type="spellEnd"/>
      <w:r w:rsidRPr="005159B7">
        <w:rPr>
          <w:rFonts w:eastAsia="Arial Unicode MS"/>
          <w:bCs/>
        </w:rPr>
        <w:t xml:space="preserve"> (2007)17</w:t>
      </w:r>
    </w:p>
    <w:p w14:paraId="0F1374FF" w14:textId="77777777" w:rsidR="00F13AEF" w:rsidRPr="00F13AEF" w:rsidRDefault="00F13AEF" w:rsidP="00F13AEF">
      <w:pPr>
        <w:spacing w:before="100" w:line="240" w:lineRule="auto"/>
        <w:ind w:left="720"/>
        <w:rPr>
          <w:rFonts w:eastAsia="Arial Unicode MS"/>
        </w:rPr>
      </w:pPr>
      <w:r w:rsidRPr="00F13AEF">
        <w:rPr>
          <w:rFonts w:eastAsia="Arial Unicode MS"/>
        </w:rPr>
        <w:t>Standard e i meccanismi per la parità di genere.</w:t>
      </w:r>
    </w:p>
    <w:p w14:paraId="6530633B" w14:textId="7B62A197" w:rsidR="00F13AEF" w:rsidRPr="005159B7" w:rsidRDefault="00F13AEF" w:rsidP="005159B7">
      <w:pPr>
        <w:pStyle w:val="Paragrafoelenco"/>
        <w:numPr>
          <w:ilvl w:val="0"/>
          <w:numId w:val="12"/>
        </w:numPr>
        <w:spacing w:before="100" w:line="240" w:lineRule="auto"/>
        <w:rPr>
          <w:rFonts w:eastAsia="Arial Unicode MS"/>
          <w:bCs/>
        </w:rPr>
      </w:pPr>
      <w:r w:rsidRPr="005159B7">
        <w:rPr>
          <w:rFonts w:eastAsia="Arial Unicode MS"/>
          <w:bCs/>
        </w:rPr>
        <w:t>Decreto-legge 1° luglio 2009, n. 78</w:t>
      </w:r>
    </w:p>
    <w:p w14:paraId="0C5BA91A" w14:textId="77777777" w:rsidR="00F13AEF" w:rsidRPr="00F13AEF" w:rsidRDefault="00F13AEF" w:rsidP="00F13AEF">
      <w:pPr>
        <w:spacing w:before="100" w:line="240" w:lineRule="auto"/>
        <w:ind w:left="720"/>
        <w:rPr>
          <w:rFonts w:eastAsia="Arial Unicode MS"/>
        </w:rPr>
      </w:pPr>
      <w:r w:rsidRPr="00F13AEF">
        <w:rPr>
          <w:rFonts w:eastAsia="Arial Unicode MS"/>
        </w:rPr>
        <w:t>Decreto-Legge convertito con modificazioni dalla L. 3 agosto 2009, n. 102 (istituzione del "Fondo strategico per il Paese a sostegno dell'economia reale" presso la Presidenza del Consiglio dei Ministri per interventi dedicati a politiche sociali e familiari).</w:t>
      </w:r>
    </w:p>
    <w:p w14:paraId="3372F5AE" w14:textId="350E1E3E" w:rsidR="00F13AEF" w:rsidRPr="005159B7" w:rsidRDefault="00F13AEF" w:rsidP="005159B7">
      <w:pPr>
        <w:pStyle w:val="Paragrafoelenco"/>
        <w:numPr>
          <w:ilvl w:val="0"/>
          <w:numId w:val="12"/>
        </w:numPr>
        <w:spacing w:before="100" w:line="240" w:lineRule="auto"/>
        <w:rPr>
          <w:rFonts w:eastAsia="Arial Unicode MS"/>
          <w:bCs/>
        </w:rPr>
      </w:pPr>
      <w:r w:rsidRPr="005159B7">
        <w:rPr>
          <w:rFonts w:eastAsia="Arial Unicode MS"/>
          <w:bCs/>
        </w:rPr>
        <w:t>Decreto legislativo 27 ottobre 2009, n. 150</w:t>
      </w:r>
    </w:p>
    <w:p w14:paraId="5C47E6A1" w14:textId="77777777" w:rsidR="00F13AEF" w:rsidRDefault="00F13AEF" w:rsidP="00F13AEF">
      <w:pPr>
        <w:spacing w:before="100" w:line="240" w:lineRule="auto"/>
        <w:ind w:left="720"/>
        <w:rPr>
          <w:rFonts w:eastAsia="Arial Unicode MS"/>
        </w:rPr>
      </w:pPr>
      <w:r w:rsidRPr="00F13AEF">
        <w:rPr>
          <w:rFonts w:eastAsia="Arial Unicode MS"/>
        </w:rPr>
        <w:t>Attuazione della legge 4 marzo 2009, n. 15, in materia di ottimizzazione della produttività del lavoro pubblico e di efficienza e trasparenza delle pubbliche amministrazioni.</w:t>
      </w:r>
    </w:p>
    <w:p w14:paraId="727B146A" w14:textId="6AF5C988" w:rsidR="00F13AEF" w:rsidRPr="005159B7" w:rsidRDefault="00F13AEF" w:rsidP="005159B7">
      <w:pPr>
        <w:pStyle w:val="Paragrafoelenco"/>
        <w:numPr>
          <w:ilvl w:val="0"/>
          <w:numId w:val="12"/>
        </w:numPr>
        <w:spacing w:before="100" w:line="240" w:lineRule="auto"/>
        <w:rPr>
          <w:rFonts w:eastAsia="Arial Unicode MS"/>
        </w:rPr>
      </w:pPr>
      <w:r w:rsidRPr="005159B7">
        <w:rPr>
          <w:rFonts w:eastAsia="Arial Unicode MS"/>
          <w:bCs/>
        </w:rPr>
        <w:t xml:space="preserve">Decreto </w:t>
      </w:r>
      <w:r w:rsidRPr="005159B7">
        <w:rPr>
          <w:rFonts w:eastAsia="Arial Unicode MS"/>
        </w:rPr>
        <w:t>Legislativo 25 gennaio 2010, n. 5</w:t>
      </w:r>
      <w:r w:rsidRPr="005159B7">
        <w:rPr>
          <w:rFonts w:eastAsia="Arial Unicode MS"/>
          <w:bCs/>
        </w:rPr>
        <w:t xml:space="preserve"> </w:t>
      </w:r>
    </w:p>
    <w:p w14:paraId="76CB1A92" w14:textId="77777777" w:rsidR="00F13AEF" w:rsidRPr="00F43FB7" w:rsidRDefault="00F13AEF" w:rsidP="00F13AEF">
      <w:pPr>
        <w:spacing w:before="100" w:line="240" w:lineRule="auto"/>
        <w:ind w:left="709"/>
        <w:rPr>
          <w:rFonts w:eastAsia="Arial Unicode MS"/>
          <w:bCs/>
        </w:rPr>
      </w:pPr>
      <w:r w:rsidRPr="00F43FB7">
        <w:rPr>
          <w:rFonts w:eastAsia="Arial Unicode MS"/>
          <w:bCs/>
        </w:rPr>
        <w:t>Attuazione della direttiva 2006/54/CE relativa al principio delle pari opportunità e della parità di trattamento fra uomini e donne in materia di occupazione e impiego (rifusione).</w:t>
      </w:r>
    </w:p>
    <w:p w14:paraId="68C73AD0" w14:textId="0BA27F43" w:rsidR="00F13AEF" w:rsidRPr="005159B7" w:rsidRDefault="00F13AEF" w:rsidP="005159B7">
      <w:pPr>
        <w:pStyle w:val="Paragrafoelenco"/>
        <w:numPr>
          <w:ilvl w:val="0"/>
          <w:numId w:val="12"/>
        </w:numPr>
        <w:spacing w:before="100" w:line="240" w:lineRule="auto"/>
        <w:rPr>
          <w:rFonts w:eastAsia="Arial Unicode MS"/>
          <w:bCs/>
        </w:rPr>
      </w:pPr>
      <w:r w:rsidRPr="005159B7">
        <w:rPr>
          <w:rFonts w:eastAsia="Arial Unicode MS"/>
          <w:bCs/>
        </w:rPr>
        <w:t>Legge 12 luglio 2011, n. 120</w:t>
      </w:r>
    </w:p>
    <w:p w14:paraId="3E282D6E" w14:textId="77777777" w:rsidR="00F13AEF" w:rsidRPr="00F43FB7" w:rsidRDefault="00F13AEF" w:rsidP="00F13AEF">
      <w:pPr>
        <w:spacing w:before="100" w:line="240" w:lineRule="auto"/>
        <w:ind w:left="709"/>
        <w:rPr>
          <w:rFonts w:eastAsia="Arial Unicode MS"/>
        </w:rPr>
      </w:pPr>
      <w:r w:rsidRPr="00F43FB7">
        <w:rPr>
          <w:rFonts w:eastAsia="Arial Unicode MS"/>
        </w:rPr>
        <w:t>Modifiche al testo unico delle disposizioni in materia di intermediazione finanziaria, di cui al decreto legislativo 24 febbraio 1998, n. 58, concernenti la parità di accesso agli organi di amministrazione e di controllo delle società quotate in mercati regolamentati. </w:t>
      </w:r>
    </w:p>
    <w:p w14:paraId="2663B612" w14:textId="4A81C8CE"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Legge 28 giugno 2012, n. 92</w:t>
      </w:r>
    </w:p>
    <w:p w14:paraId="5A4C9399" w14:textId="77777777" w:rsidR="00F13AEF" w:rsidRPr="00F43FB7" w:rsidRDefault="00F13AEF" w:rsidP="00F13AEF">
      <w:pPr>
        <w:spacing w:before="100" w:line="240" w:lineRule="auto"/>
        <w:ind w:left="709"/>
        <w:rPr>
          <w:rFonts w:eastAsia="Arial Unicode MS"/>
        </w:rPr>
      </w:pPr>
      <w:r w:rsidRPr="00F43FB7">
        <w:rPr>
          <w:rFonts w:eastAsia="Arial Unicode MS"/>
        </w:rPr>
        <w:t>Disposizioni in materia di riforma del mercato del lavoro in una prospettiva di crescita.</w:t>
      </w:r>
    </w:p>
    <w:p w14:paraId="46C7443A" w14:textId="270A47F1"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Legge 6 novembre 2012, n. 190</w:t>
      </w:r>
    </w:p>
    <w:p w14:paraId="65913145" w14:textId="77777777" w:rsidR="00F13AEF" w:rsidRPr="00F43FB7" w:rsidRDefault="00F13AEF" w:rsidP="00F13AEF">
      <w:pPr>
        <w:spacing w:before="100" w:line="240" w:lineRule="auto"/>
        <w:ind w:left="709"/>
        <w:rPr>
          <w:rFonts w:eastAsia="Arial Unicode MS"/>
        </w:rPr>
      </w:pPr>
      <w:r w:rsidRPr="00F43FB7">
        <w:rPr>
          <w:rFonts w:eastAsia="Arial Unicode MS"/>
        </w:rPr>
        <w:t>Disposizioni per la prevenzione e la repressione della corruzione e dell'illegalità nella pubblica amministrazione”, ed in particolare il comma 35 dell’articolo 1.</w:t>
      </w:r>
    </w:p>
    <w:p w14:paraId="0E1C19DB" w14:textId="03DD6CCF"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del Presidente della Repubblica 30 novembre 2012, n. 251</w:t>
      </w:r>
    </w:p>
    <w:p w14:paraId="6718AEB6" w14:textId="77777777" w:rsidR="00F13AEF" w:rsidRPr="00F43FB7" w:rsidRDefault="00F13AEF" w:rsidP="00F13AEF">
      <w:pPr>
        <w:spacing w:before="100" w:line="240" w:lineRule="auto"/>
        <w:ind w:left="709"/>
        <w:rPr>
          <w:rFonts w:eastAsia="Arial Unicode MS"/>
        </w:rPr>
      </w:pPr>
      <w:r w:rsidRPr="00F43FB7">
        <w:rPr>
          <w:rFonts w:eastAsia="Arial Unicode MS"/>
        </w:rPr>
        <w:t>Regolamento concernente la parità di accesso agli organi di amministrazione e di controllo nelle società, costituite in Italia, controllate da pubbliche amministrazioni, ai sensi dell'articolo 2359, commi primo e secondo, del codice civile, non quotate in mercati regolamentati, in attuazione dell'articolo 3, comma 2, della legge 12 luglio 2011, n. 120.</w:t>
      </w:r>
    </w:p>
    <w:p w14:paraId="38F37940" w14:textId="7A50E523"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Decreto</w:t>
      </w:r>
      <w:r w:rsidRPr="00286441">
        <w:rPr>
          <w:rFonts w:eastAsia="Arial Unicode MS"/>
        </w:rPr>
        <w:t xml:space="preserve"> </w:t>
      </w:r>
      <w:r w:rsidRPr="00286441">
        <w:rPr>
          <w:rFonts w:eastAsia="Arial Unicode MS"/>
          <w:bCs/>
        </w:rPr>
        <w:t>legislativo 14 marzo 2013, n. 33</w:t>
      </w:r>
      <w:r w:rsidRPr="00286441">
        <w:rPr>
          <w:rFonts w:eastAsia="Arial Unicode MS"/>
        </w:rPr>
        <w:t>, adottato in attuazione dell’articolo 1, commi 35 e 36, della legge n. 190 del 2012</w:t>
      </w:r>
    </w:p>
    <w:p w14:paraId="6F7F4CC3" w14:textId="77777777" w:rsidR="00F13AEF" w:rsidRPr="00F43FB7" w:rsidRDefault="00F13AEF" w:rsidP="00F13AEF">
      <w:pPr>
        <w:spacing w:before="100" w:line="240" w:lineRule="auto"/>
        <w:ind w:left="709"/>
        <w:rPr>
          <w:rFonts w:eastAsia="Arial Unicode MS"/>
        </w:rPr>
      </w:pPr>
      <w:r w:rsidRPr="00F43FB7">
        <w:rPr>
          <w:rFonts w:eastAsia="Arial Unicode MS"/>
        </w:rPr>
        <w:t>Riordino della disciplina riguardante gli obblighi di pubblicità, trasparenza e diffusione di informazioni da parte delle pubbliche amministrazioni” e, in particolare, il disposto dell'articolo 49, comma 2.</w:t>
      </w:r>
    </w:p>
    <w:p w14:paraId="65E3C3EB" w14:textId="61FFA09E"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Decreto-legge 23 dicembre 2013, n.145</w:t>
      </w:r>
      <w:r w:rsidRPr="00286441">
        <w:rPr>
          <w:rFonts w:eastAsia="Arial Unicode MS"/>
        </w:rPr>
        <w:t xml:space="preserve">, convertito, con modificazioni, dalla legge n. 9/2014 </w:t>
      </w:r>
    </w:p>
    <w:p w14:paraId="6DDFF41F" w14:textId="77777777" w:rsidR="00F13AEF" w:rsidRPr="00F43FB7" w:rsidRDefault="00F13AEF" w:rsidP="00F13AEF">
      <w:pPr>
        <w:spacing w:before="100" w:line="240" w:lineRule="auto"/>
        <w:ind w:left="709"/>
        <w:rPr>
          <w:rFonts w:eastAsia="Arial Unicode MS"/>
        </w:rPr>
      </w:pPr>
      <w:r w:rsidRPr="00F43FB7">
        <w:rPr>
          <w:rFonts w:eastAsia="Arial Unicode MS"/>
        </w:rPr>
        <w:t>Interventi urgenti di avvio del piano "Destinazione Italia", per il contenimento delle tariffe elettriche e del gas </w:t>
      </w:r>
      <w:r w:rsidRPr="00F43FB7">
        <w:rPr>
          <w:rFonts w:eastAsia="Arial Unicode MS"/>
          <w:i/>
          <w:iCs/>
        </w:rPr>
        <w:t>((...))</w:t>
      </w:r>
      <w:r w:rsidRPr="00F43FB7">
        <w:rPr>
          <w:rFonts w:eastAsia="Arial Unicode MS"/>
        </w:rPr>
        <w:t>, per l'internazionalizzazione, lo sviluppo e la digitalizzazione delle imprese, nonché misure per la realizzazione di opere pubbliche ed EXPO 2015.</w:t>
      </w:r>
    </w:p>
    <w:p w14:paraId="43A53CBA" w14:textId="31D10D6C"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Legge 10 dicembre 2014, n. 183</w:t>
      </w:r>
    </w:p>
    <w:p w14:paraId="351781F7" w14:textId="77777777" w:rsidR="00F13AEF" w:rsidRPr="00F43FB7" w:rsidRDefault="00F13AEF" w:rsidP="00F13AEF">
      <w:pPr>
        <w:spacing w:before="100" w:line="240" w:lineRule="auto"/>
        <w:ind w:left="709"/>
        <w:rPr>
          <w:rFonts w:eastAsia="Arial Unicode MS"/>
        </w:rPr>
      </w:pPr>
      <w:r w:rsidRPr="00F43FB7">
        <w:rPr>
          <w:rFonts w:eastAsia="Arial Unicode MS"/>
        </w:rPr>
        <w:lastRenderedPageBreak/>
        <w:t>Deleghe al Governo in materia di riforma degli ammortizzatori sociali, dei servizi per il lavoro e delle politiche attive, nonché in materia di riordino della disciplina dei rapporti di lavoro e dell'attività ispettiva e di tutela e conciliazione delle esigenze di cura, di vita e di lavoro.</w:t>
      </w:r>
    </w:p>
    <w:p w14:paraId="61E1A4C3" w14:textId="6DA56E88"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legislativo 4 marzo 2015, n. 23 </w:t>
      </w:r>
    </w:p>
    <w:p w14:paraId="287ACA59" w14:textId="77777777" w:rsidR="00F13AEF" w:rsidRPr="00F43FB7" w:rsidRDefault="00F13AEF" w:rsidP="00F13AEF">
      <w:pPr>
        <w:spacing w:before="100" w:line="240" w:lineRule="auto"/>
        <w:ind w:left="709"/>
        <w:rPr>
          <w:rFonts w:eastAsia="Arial Unicode MS"/>
        </w:rPr>
      </w:pPr>
      <w:r w:rsidRPr="00F43FB7">
        <w:rPr>
          <w:rFonts w:eastAsia="Arial Unicode MS"/>
        </w:rPr>
        <w:t>Disposizioni in materia di contratto di lavoro a tempo indeterminato a tutele crescenti, in attuazione della legge 10 dicembre 2014, n. 183.</w:t>
      </w:r>
    </w:p>
    <w:p w14:paraId="09B17554" w14:textId="524753FD"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della Presidenza del Consiglio dei ministri del 27 marzo 2015 </w:t>
      </w:r>
    </w:p>
    <w:p w14:paraId="77EEC572" w14:textId="77777777" w:rsidR="00F13AEF" w:rsidRPr="00F43FB7" w:rsidRDefault="00F13AEF" w:rsidP="00F13AEF">
      <w:pPr>
        <w:spacing w:before="100" w:line="240" w:lineRule="auto"/>
        <w:ind w:left="709"/>
        <w:rPr>
          <w:rFonts w:eastAsia="Arial Unicode MS"/>
        </w:rPr>
      </w:pPr>
      <w:r w:rsidRPr="00F43FB7">
        <w:rPr>
          <w:rFonts w:eastAsia="Arial Unicode MS"/>
        </w:rPr>
        <w:t>Ricognizione degli enti vigilati dal Ministero dei beni e delle attività culturali e del turismo e individuazione delle strutture del Ministero, titolari dell'esercizio delle relative funzioni di vigilanza.</w:t>
      </w:r>
    </w:p>
    <w:p w14:paraId="1E198D85" w14:textId="6BF1414E"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legislativo 15 giugno 2015, n. 80</w:t>
      </w:r>
    </w:p>
    <w:p w14:paraId="5556D865" w14:textId="77777777" w:rsidR="00F13AEF" w:rsidRPr="00F43FB7" w:rsidRDefault="00F13AEF" w:rsidP="00F13AEF">
      <w:pPr>
        <w:spacing w:before="100" w:line="240" w:lineRule="auto"/>
        <w:ind w:left="709"/>
        <w:rPr>
          <w:rFonts w:eastAsia="Arial Unicode MS"/>
        </w:rPr>
      </w:pPr>
      <w:r w:rsidRPr="00F43FB7">
        <w:rPr>
          <w:rFonts w:eastAsia="Arial Unicode MS"/>
        </w:rPr>
        <w:t>Misure per la conciliazione delle esigenze di cura, di vita e di lavoro, in attuazione dell'articolo 1, commi 8 e 9, della legge 10 dicembre 2014, n. 183.</w:t>
      </w:r>
    </w:p>
    <w:p w14:paraId="7FB8738E" w14:textId="027ADC43"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legislativo 15 giugno 2015, n. 81</w:t>
      </w:r>
    </w:p>
    <w:p w14:paraId="6235F8C2" w14:textId="77777777" w:rsidR="00F13AEF" w:rsidRPr="00F43FB7" w:rsidRDefault="00F13AEF" w:rsidP="00F13AEF">
      <w:pPr>
        <w:spacing w:before="100" w:line="240" w:lineRule="auto"/>
        <w:ind w:left="709"/>
        <w:rPr>
          <w:rFonts w:eastAsia="Arial Unicode MS"/>
        </w:rPr>
      </w:pPr>
      <w:r w:rsidRPr="00F43FB7">
        <w:rPr>
          <w:rFonts w:eastAsia="Arial Unicode MS"/>
        </w:rPr>
        <w:t>Disciplina organica dei contratti di lavoro e revisione della normativa in tema di mansioni, a norma dell'articolo 1, comma 7, della legge 10 dicembre 2014, n. 183.</w:t>
      </w:r>
    </w:p>
    <w:p w14:paraId="4B951327" w14:textId="729C96F0"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Legge</w:t>
      </w:r>
      <w:r w:rsidRPr="00286441">
        <w:rPr>
          <w:rFonts w:eastAsia="Arial Unicode MS"/>
        </w:rPr>
        <w:t xml:space="preserve"> </w:t>
      </w:r>
      <w:r w:rsidRPr="00286441">
        <w:rPr>
          <w:rFonts w:eastAsia="Arial Unicode MS"/>
          <w:bCs/>
        </w:rPr>
        <w:t>7 agosto 2015, n. 124</w:t>
      </w:r>
    </w:p>
    <w:p w14:paraId="310C8F7E" w14:textId="77777777" w:rsidR="00F13AEF" w:rsidRPr="00F43FB7" w:rsidRDefault="00F13AEF" w:rsidP="00F13AEF">
      <w:pPr>
        <w:spacing w:before="100" w:line="240" w:lineRule="auto"/>
        <w:ind w:left="709"/>
        <w:rPr>
          <w:rFonts w:eastAsia="Arial Unicode MS"/>
        </w:rPr>
      </w:pPr>
      <w:r w:rsidRPr="00F43FB7">
        <w:rPr>
          <w:rFonts w:eastAsia="Arial Unicode MS"/>
        </w:rPr>
        <w:t>Deleghe al Governo in materia di riorganizzazione delle amministrazioni pubbliche.</w:t>
      </w:r>
    </w:p>
    <w:p w14:paraId="49E9A3D3" w14:textId="69DF7EBA"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Decreto</w:t>
      </w:r>
      <w:r w:rsidRPr="00286441">
        <w:rPr>
          <w:rFonts w:eastAsia="Arial Unicode MS"/>
        </w:rPr>
        <w:t xml:space="preserve"> </w:t>
      </w:r>
      <w:r w:rsidRPr="00286441">
        <w:rPr>
          <w:rFonts w:eastAsia="Arial Unicode MS"/>
          <w:bCs/>
        </w:rPr>
        <w:t>legislativo 12 maggio 2016, n. 90</w:t>
      </w:r>
    </w:p>
    <w:p w14:paraId="233EA155" w14:textId="77777777" w:rsidR="00F13AEF" w:rsidRPr="00F43FB7" w:rsidRDefault="00F13AEF" w:rsidP="00F13AEF">
      <w:pPr>
        <w:spacing w:before="100" w:line="240" w:lineRule="auto"/>
        <w:ind w:left="709"/>
        <w:rPr>
          <w:rFonts w:eastAsia="Arial Unicode MS"/>
        </w:rPr>
      </w:pPr>
      <w:r w:rsidRPr="00F43FB7">
        <w:rPr>
          <w:rFonts w:eastAsia="Arial Unicode MS"/>
        </w:rPr>
        <w:t>Completamento della riforma della struttura del bilancio dello Stato in attuazione dell’art. 40, comma 1, della Legge 31 dicembre 2009, n. 196.</w:t>
      </w:r>
    </w:p>
    <w:p w14:paraId="34BFFEE4" w14:textId="76FF2DDB"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Decreto</w:t>
      </w:r>
      <w:r w:rsidRPr="00286441">
        <w:rPr>
          <w:rFonts w:eastAsia="Arial Unicode MS"/>
        </w:rPr>
        <w:t xml:space="preserve"> </w:t>
      </w:r>
      <w:r w:rsidRPr="00286441">
        <w:rPr>
          <w:rFonts w:eastAsia="Arial Unicode MS"/>
          <w:bCs/>
        </w:rPr>
        <w:t>legislativo 19 agosto 2016, n. 175</w:t>
      </w:r>
    </w:p>
    <w:p w14:paraId="44A22F78" w14:textId="77777777" w:rsidR="00F13AEF" w:rsidRPr="00F43FB7" w:rsidRDefault="00F13AEF" w:rsidP="00F13AEF">
      <w:pPr>
        <w:spacing w:before="100" w:line="240" w:lineRule="auto"/>
        <w:ind w:left="709"/>
        <w:rPr>
          <w:rFonts w:eastAsia="Arial Unicode MS"/>
        </w:rPr>
      </w:pPr>
      <w:r w:rsidRPr="00F43FB7">
        <w:rPr>
          <w:rFonts w:eastAsia="Arial Unicode MS"/>
        </w:rPr>
        <w:t>Testo unico in materia di società a partecipazione pubblica.</w:t>
      </w:r>
    </w:p>
    <w:p w14:paraId="1D03E2BE" w14:textId="54DBC9E3"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Direttiva n. 3 del 2017 in materia di lavoro agile</w:t>
      </w:r>
    </w:p>
    <w:p w14:paraId="391E45D3" w14:textId="77777777" w:rsidR="00F13AEF" w:rsidRPr="00F43FB7" w:rsidRDefault="00F13AEF" w:rsidP="00F13AEF">
      <w:pPr>
        <w:spacing w:before="100" w:line="240" w:lineRule="auto"/>
        <w:ind w:left="709"/>
        <w:rPr>
          <w:rFonts w:eastAsia="Arial Unicode MS"/>
        </w:rPr>
      </w:pPr>
      <w:r w:rsidRPr="00F43FB7">
        <w:rPr>
          <w:rFonts w:eastAsia="Arial Unicode MS"/>
        </w:rPr>
        <w:t>Direttiva del presidente del Consiglio dei ministri recante indirizzi per l'attuazione dei commi 1 e 2 dell’articolo 14 della legge 7 agosto 2015, n. 124 e linee guida contenenti regole inerenti all'organizzazione del lavoro finalizzate a promuovere la conciliazione dei tempi di vita e di lavoro dei dipendenti.</w:t>
      </w:r>
    </w:p>
    <w:p w14:paraId="59698F56" w14:textId="2A7A4203"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Legge 22 maggio 2017, n. 81</w:t>
      </w:r>
    </w:p>
    <w:p w14:paraId="41ACAE5C" w14:textId="77777777" w:rsidR="00F13AEF" w:rsidRPr="00F43FB7" w:rsidRDefault="00F13AEF" w:rsidP="00F13AEF">
      <w:pPr>
        <w:spacing w:before="100" w:line="240" w:lineRule="auto"/>
        <w:ind w:left="709"/>
        <w:rPr>
          <w:rFonts w:eastAsia="Arial Unicode MS"/>
        </w:rPr>
      </w:pPr>
      <w:r w:rsidRPr="00F43FB7">
        <w:rPr>
          <w:rFonts w:eastAsia="Arial Unicode MS"/>
        </w:rPr>
        <w:t>Misure per la tutela del lavoro autonomo non imprenditoriale e misure volte a favorire l'articolazione flessibile nei tempi e nei luoghi del lavoro subordinato.</w:t>
      </w:r>
    </w:p>
    <w:p w14:paraId="18A9CA47" w14:textId="0A3F04B6"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Direttiva</w:t>
      </w:r>
      <w:r w:rsidRPr="00286441">
        <w:rPr>
          <w:rFonts w:eastAsia="Arial Unicode MS"/>
        </w:rPr>
        <w:t xml:space="preserve"> </w:t>
      </w:r>
      <w:r w:rsidRPr="00286441">
        <w:rPr>
          <w:rFonts w:eastAsia="Arial Unicode MS"/>
          <w:bCs/>
        </w:rPr>
        <w:t>del Presidente del Consiglio dei ministri del 15 giugno 2017</w:t>
      </w:r>
    </w:p>
    <w:p w14:paraId="44C1CAE0" w14:textId="77777777" w:rsidR="00F13AEF" w:rsidRPr="00F43FB7" w:rsidRDefault="00F13AEF" w:rsidP="00F13AEF">
      <w:pPr>
        <w:spacing w:before="100" w:line="240" w:lineRule="auto"/>
        <w:ind w:left="709"/>
        <w:rPr>
          <w:rFonts w:eastAsia="Arial Unicode MS"/>
        </w:rPr>
      </w:pPr>
      <w:r w:rsidRPr="00F43FB7">
        <w:rPr>
          <w:rFonts w:eastAsia="Arial Unicode MS"/>
        </w:rPr>
        <w:t>Indirizzi per l’attuazione dei commi 1 e 2 dell’articolo 14 della Legge 7 agosto 2015, n. 124 e linee guida contenenti le regole inerenti all’organizzazione del lavoro finalizzate a promuovere la conciliazione dei tempi di vita e di lavoro dei dipendenti.</w:t>
      </w:r>
    </w:p>
    <w:p w14:paraId="7DA06198" w14:textId="0F02629E"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del Presidente del Consiglio dei ministri 15 settembre 2017, n. 169</w:t>
      </w:r>
    </w:p>
    <w:p w14:paraId="0CCD06BF" w14:textId="77777777" w:rsidR="00F13AEF" w:rsidRPr="00F43FB7" w:rsidRDefault="00F13AEF" w:rsidP="00F13AEF">
      <w:pPr>
        <w:spacing w:before="100" w:line="240" w:lineRule="auto"/>
        <w:ind w:left="709"/>
        <w:rPr>
          <w:rFonts w:eastAsia="Arial Unicode MS"/>
        </w:rPr>
      </w:pPr>
      <w:r w:rsidRPr="00F43FB7">
        <w:rPr>
          <w:rFonts w:eastAsia="Arial Unicode MS"/>
        </w:rPr>
        <w:t>Regolamento recante disciplina sull'analisi dell'impatto della regolamentazione, la verifica dell'impatto della regolamentazione e la consultazione.</w:t>
      </w:r>
    </w:p>
    <w:p w14:paraId="3088910C" w14:textId="51CEAB33"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legislativo del 12 settembre 2018, n.116</w:t>
      </w:r>
    </w:p>
    <w:p w14:paraId="02315407" w14:textId="77777777" w:rsidR="00F13AEF" w:rsidRPr="00F43FB7" w:rsidRDefault="00F13AEF" w:rsidP="00F13AEF">
      <w:pPr>
        <w:spacing w:before="100" w:line="240" w:lineRule="auto"/>
        <w:ind w:left="709"/>
        <w:rPr>
          <w:rFonts w:eastAsia="Arial Unicode MS"/>
          <w:bCs/>
        </w:rPr>
      </w:pPr>
      <w:r w:rsidRPr="00F43FB7">
        <w:rPr>
          <w:rFonts w:eastAsia="Arial Unicode MS"/>
          <w:bCs/>
        </w:rPr>
        <w:t>Disposizioni integrative e correttive al decreto legislativo 12 maggio 2016, n. 90, in materia di completamento della riforma della struttura del bilancio dello Stato, in attuazione dell'articolo 40, comma 1, della legge 31 dicembre 2009, n. 196. </w:t>
      </w:r>
    </w:p>
    <w:p w14:paraId="39713BC7" w14:textId="625BD353"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Legge 30 dicembre 2018, n. 145</w:t>
      </w:r>
    </w:p>
    <w:p w14:paraId="480F13B7" w14:textId="77777777" w:rsidR="00F13AEF" w:rsidRPr="00F43FB7" w:rsidRDefault="00F13AEF" w:rsidP="00F13AEF">
      <w:pPr>
        <w:spacing w:before="100" w:line="240" w:lineRule="auto"/>
        <w:ind w:left="709"/>
        <w:rPr>
          <w:rFonts w:eastAsia="Arial Unicode MS"/>
        </w:rPr>
      </w:pPr>
      <w:r w:rsidRPr="00F43FB7">
        <w:rPr>
          <w:rFonts w:eastAsia="Arial Unicode MS"/>
        </w:rPr>
        <w:lastRenderedPageBreak/>
        <w:t>Bilancio di previsione dello Stato per l'anno finanziario 2019 e bilancio pluriennale per il triennio 2019-2021 (azioni a sostegno della conciliazione vita lavoro - art. 1, comma 486).</w:t>
      </w:r>
    </w:p>
    <w:p w14:paraId="05743CD5" w14:textId="4E2F3A91"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 xml:space="preserve">Risoluzione del Parlamento europeo del 15 gennaio 2019 </w:t>
      </w:r>
    </w:p>
    <w:p w14:paraId="574E79B0" w14:textId="77777777" w:rsidR="00F13AEF" w:rsidRPr="00F43FB7" w:rsidRDefault="00F13AEF" w:rsidP="00F13AEF">
      <w:pPr>
        <w:spacing w:before="100" w:line="240" w:lineRule="auto"/>
        <w:ind w:left="709"/>
        <w:rPr>
          <w:rFonts w:eastAsia="Arial Unicode MS"/>
        </w:rPr>
      </w:pPr>
      <w:r w:rsidRPr="00F43FB7">
        <w:rPr>
          <w:rFonts w:eastAsia="Arial Unicode MS"/>
        </w:rPr>
        <w:t>Risoluzione sulla parità di genere e le politiche fiscali nell'Unione europea (2018/2095(INI)).</w:t>
      </w:r>
    </w:p>
    <w:p w14:paraId="789F4B9F" w14:textId="5EA98F28"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Direttiva n. 2 del 2019 del Ministro per la Pubblica Amministrazione</w:t>
      </w:r>
    </w:p>
    <w:p w14:paraId="1225082D" w14:textId="77777777" w:rsidR="00F13AEF" w:rsidRPr="00F43FB7" w:rsidRDefault="00F13AEF" w:rsidP="00F13AEF">
      <w:pPr>
        <w:spacing w:before="100" w:line="240" w:lineRule="auto"/>
        <w:ind w:left="709"/>
        <w:rPr>
          <w:rFonts w:eastAsia="Arial Unicode MS"/>
        </w:rPr>
      </w:pPr>
      <w:r w:rsidRPr="00F43FB7">
        <w:rPr>
          <w:rFonts w:eastAsia="Arial Unicode MS"/>
        </w:rPr>
        <w:t>Misure per promuovere le pari opportunità e rafforzare il ruolo dei Comitati Unici di Garanzia nelle amministrazioni pubbliche.</w:t>
      </w:r>
    </w:p>
    <w:p w14:paraId="31B7721A" w14:textId="7AA07547"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Direttiva (UE) 2019/1158 del Parlamento europeo e del Consiglio del 20 giugno 2019</w:t>
      </w:r>
    </w:p>
    <w:p w14:paraId="65A11B6C" w14:textId="77777777" w:rsidR="00F13AEF" w:rsidRPr="00F43FB7" w:rsidRDefault="00F13AEF" w:rsidP="00F13AEF">
      <w:pPr>
        <w:spacing w:before="100" w:line="240" w:lineRule="auto"/>
        <w:ind w:left="709"/>
        <w:rPr>
          <w:rFonts w:eastAsia="Arial Unicode MS"/>
        </w:rPr>
      </w:pPr>
      <w:r w:rsidRPr="00F43FB7">
        <w:rPr>
          <w:rFonts w:eastAsia="Arial Unicode MS"/>
        </w:rPr>
        <w:t>relativa all'equilibrio tra attività professionale e vita familiare per i genitori e i prestatori di assistenza e che abroga la direttiva 2010/18/UE del Consiglio.</w:t>
      </w:r>
    </w:p>
    <w:p w14:paraId="70A5DF1D" w14:textId="43CA65A3"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Legge 30 dicembre 2020, n. 178</w:t>
      </w:r>
    </w:p>
    <w:p w14:paraId="266D566B" w14:textId="77777777" w:rsidR="00F13AEF" w:rsidRPr="00F43FB7" w:rsidRDefault="00F13AEF" w:rsidP="00F13AEF">
      <w:pPr>
        <w:spacing w:before="100" w:line="240" w:lineRule="auto"/>
        <w:ind w:left="709"/>
        <w:rPr>
          <w:rFonts w:eastAsia="Arial Unicode MS"/>
        </w:rPr>
      </w:pPr>
      <w:r w:rsidRPr="00F43FB7">
        <w:rPr>
          <w:rFonts w:eastAsia="Arial Unicode MS"/>
        </w:rPr>
        <w:t>Bilancio di previsione dello Stato per l'anno finanziario 2021 e bilancio pluriennale per il triennio 2021-2023 (supporto a caregiver ed estensione del congedo obbligatorio di paternità elevandone la durata a dieci giorni).</w:t>
      </w:r>
    </w:p>
    <w:p w14:paraId="4B991C84" w14:textId="5FE4E084"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Regolamento (UE) 2021/241 del Parlamento europeo e del Consiglio del 12 febbraio 2021</w:t>
      </w:r>
    </w:p>
    <w:p w14:paraId="4BE7BF08" w14:textId="77777777" w:rsidR="00F13AEF" w:rsidRPr="00F43FB7" w:rsidRDefault="00F13AEF" w:rsidP="00F13AEF">
      <w:pPr>
        <w:spacing w:before="100" w:line="240" w:lineRule="auto"/>
        <w:ind w:left="709"/>
        <w:rPr>
          <w:rFonts w:eastAsia="Arial Unicode MS"/>
        </w:rPr>
      </w:pPr>
      <w:r w:rsidRPr="00F43FB7">
        <w:rPr>
          <w:rFonts w:eastAsia="Arial Unicode MS"/>
        </w:rPr>
        <w:t>Regolamento istitutivo del dispositivo per la ripresa e la resilienza.</w:t>
      </w:r>
    </w:p>
    <w:p w14:paraId="14986FE6" w14:textId="7D20968C"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Decreto-legge 31 maggio 2021, n. 77</w:t>
      </w:r>
    </w:p>
    <w:p w14:paraId="370983CD" w14:textId="77777777" w:rsidR="00F13AEF" w:rsidRPr="00F43FB7" w:rsidRDefault="00F13AEF" w:rsidP="00F13AEF">
      <w:pPr>
        <w:spacing w:before="100" w:line="240" w:lineRule="auto"/>
        <w:ind w:left="709"/>
        <w:rPr>
          <w:rFonts w:eastAsia="Arial Unicode MS"/>
        </w:rPr>
      </w:pPr>
      <w:r w:rsidRPr="00F43FB7">
        <w:rPr>
          <w:rFonts w:eastAsia="Arial Unicode MS"/>
        </w:rPr>
        <w:t>Governance del Piano nazionale di ripresa e resilienza e prime misure di rafforzamento delle strutture amministrative e di accelerazione e snellimento delle procedure.</w:t>
      </w:r>
    </w:p>
    <w:p w14:paraId="031220A0" w14:textId="2C1A2391"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 xml:space="preserve">Decreto del Ministro del lavoro e delle politiche sociali n. 143 del 25 giugno 2021 </w:t>
      </w:r>
    </w:p>
    <w:p w14:paraId="697A42BC" w14:textId="77777777" w:rsidR="00F13AEF" w:rsidRPr="00F43FB7" w:rsidRDefault="00F13AEF" w:rsidP="00F13AEF">
      <w:pPr>
        <w:spacing w:before="100" w:line="240" w:lineRule="auto"/>
        <w:ind w:left="709"/>
        <w:rPr>
          <w:rFonts w:eastAsia="Arial Unicode MS"/>
        </w:rPr>
      </w:pPr>
      <w:r w:rsidRPr="00F43FB7">
        <w:rPr>
          <w:rFonts w:eastAsia="Arial Unicode MS"/>
        </w:rPr>
        <w:t>Verifica della congruità della manodopera impiegata nei lavori edili.</w:t>
      </w:r>
    </w:p>
    <w:p w14:paraId="125F1160" w14:textId="38D03C12"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Decisione di Esecuzione del Consiglio del 13 luglio 2021</w:t>
      </w:r>
    </w:p>
    <w:p w14:paraId="642A49A5" w14:textId="77777777" w:rsidR="00F13AEF" w:rsidRPr="00F43FB7" w:rsidRDefault="00F13AEF" w:rsidP="00F13AEF">
      <w:pPr>
        <w:spacing w:before="100" w:line="240" w:lineRule="auto"/>
        <w:ind w:left="709"/>
        <w:rPr>
          <w:rFonts w:eastAsia="Arial Unicode MS"/>
        </w:rPr>
      </w:pPr>
      <w:r w:rsidRPr="00F43FB7">
        <w:rPr>
          <w:rFonts w:eastAsia="Arial Unicode MS"/>
        </w:rPr>
        <w:t>Decisione di Esecuzione del Consiglio relativa all'approvazione della valutazione del piano per la ripresa e la resilienza dell'Italia.</w:t>
      </w:r>
    </w:p>
    <w:p w14:paraId="45581A81" w14:textId="59D13325"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del Ministro dello Sviluppo Economico di concerto con il Ministro per le Pari Opportunità del 19 luglio 2021</w:t>
      </w:r>
    </w:p>
    <w:p w14:paraId="5FFD9F5A" w14:textId="77777777" w:rsidR="00F13AEF" w:rsidRPr="00F43FB7" w:rsidRDefault="00F13AEF" w:rsidP="00F13AEF">
      <w:pPr>
        <w:spacing w:before="100" w:line="240" w:lineRule="auto"/>
        <w:ind w:left="709"/>
        <w:rPr>
          <w:rFonts w:eastAsia="Arial Unicode MS"/>
        </w:rPr>
      </w:pPr>
      <w:r w:rsidRPr="00F43FB7">
        <w:rPr>
          <w:rFonts w:eastAsia="Arial Unicode MS"/>
        </w:rPr>
        <w:t>Disciplina della composizione e modalità di nomina del «Comitato Impresa donna».</w:t>
      </w:r>
    </w:p>
    <w:p w14:paraId="1FD72D65" w14:textId="07AC0C9E"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Decreto interministeriale 24 novembre 2021 – PNRR</w:t>
      </w:r>
    </w:p>
    <w:p w14:paraId="1CF52C2C" w14:textId="77777777" w:rsidR="00F13AEF" w:rsidRDefault="00F13AEF" w:rsidP="00F13AEF">
      <w:pPr>
        <w:spacing w:before="100" w:line="240" w:lineRule="auto"/>
        <w:ind w:left="709"/>
        <w:rPr>
          <w:rFonts w:eastAsia="Arial Unicode MS"/>
        </w:rPr>
      </w:pPr>
      <w:r w:rsidRPr="00F43FB7">
        <w:rPr>
          <w:rFonts w:eastAsia="Arial Unicode MS"/>
        </w:rPr>
        <w:t>Disposizioni per il sostegno finanziario a valere sulle risorse del Piano nazionale di ripresa e resilienza (PNRR) degli interventi previsti dall’investimento 1.2 “Creazione di imprese femminili” del medesimo Piano.</w:t>
      </w:r>
    </w:p>
    <w:p w14:paraId="3F6E68CA" w14:textId="536C59B3"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 xml:space="preserve">Decreto del Presidente del Consiglio dei ministri del 7 dicembre 2021 </w:t>
      </w:r>
    </w:p>
    <w:p w14:paraId="09B6DDDC" w14:textId="77777777" w:rsidR="00F13AEF" w:rsidRPr="00F43FB7" w:rsidRDefault="00F13AEF" w:rsidP="00F13AEF">
      <w:pPr>
        <w:spacing w:before="100" w:line="240" w:lineRule="auto"/>
        <w:ind w:left="709"/>
        <w:rPr>
          <w:rFonts w:eastAsia="Arial Unicode MS"/>
        </w:rPr>
      </w:pPr>
      <w:r w:rsidRPr="00F43FB7">
        <w:rPr>
          <w:rFonts w:eastAsia="Arial Unicode MS"/>
        </w:rPr>
        <w:t>Adozione delle linee guida volte a favorire la pari opportunità di genere e generazionali, nonché' l'inclusione lavorativa delle persone con disabilità nei contratti pubblici finanziati con le risorse del PNRR e del PNC.</w:t>
      </w:r>
    </w:p>
    <w:p w14:paraId="4769F78B" w14:textId="028DF419"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Legge 30 dicembre 2021, n. 234 </w:t>
      </w:r>
    </w:p>
    <w:p w14:paraId="474A794B" w14:textId="77777777" w:rsidR="00F13AEF" w:rsidRPr="00F43FB7" w:rsidRDefault="00F13AEF" w:rsidP="00F13AEF">
      <w:pPr>
        <w:spacing w:before="100" w:line="240" w:lineRule="auto"/>
        <w:ind w:left="709"/>
        <w:rPr>
          <w:rFonts w:eastAsia="Arial Unicode MS"/>
        </w:rPr>
      </w:pPr>
      <w:r w:rsidRPr="00F43FB7">
        <w:rPr>
          <w:rFonts w:eastAsia="Arial Unicode MS"/>
        </w:rPr>
        <w:t>Bilancio di previsione dello Stato per l'anno finanziario 2022 e bilancio pluriennale per il triennio 2022-2024 (adozione Piano strategico sulla parità di genere e istituzione cabina di regia interistituzionale per la parità di genere).</w:t>
      </w:r>
    </w:p>
    <w:p w14:paraId="0F1C1E5F" w14:textId="062C41FA"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del Presidente del Consiglio dei ministri del 27 gennaio 2022 </w:t>
      </w:r>
    </w:p>
    <w:p w14:paraId="44C5DA1C" w14:textId="77777777" w:rsidR="00F13AEF" w:rsidRPr="00F43FB7" w:rsidRDefault="00F13AEF" w:rsidP="00F13AEF">
      <w:pPr>
        <w:spacing w:before="100" w:line="240" w:lineRule="auto"/>
        <w:ind w:left="709"/>
        <w:rPr>
          <w:rFonts w:eastAsia="Arial Unicode MS"/>
        </w:rPr>
      </w:pPr>
      <w:r w:rsidRPr="00F43FB7">
        <w:rPr>
          <w:rFonts w:eastAsia="Arial Unicode MS"/>
        </w:rPr>
        <w:t>Istituzione della Cabina di regia interistituzionale per la parità di genere. </w:t>
      </w:r>
    </w:p>
    <w:p w14:paraId="754D3577" w14:textId="6DBDC14C"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Decreto</w:t>
      </w:r>
      <w:r w:rsidRPr="00286441">
        <w:rPr>
          <w:rFonts w:eastAsia="Arial Unicode MS"/>
        </w:rPr>
        <w:t xml:space="preserve"> </w:t>
      </w:r>
      <w:r w:rsidRPr="00286441">
        <w:rPr>
          <w:rFonts w:eastAsia="Arial Unicode MS"/>
          <w:bCs/>
        </w:rPr>
        <w:t>del Presidente del Consiglio dei ministri del 22 febbraio 2022</w:t>
      </w:r>
      <w:r w:rsidRPr="00286441">
        <w:rPr>
          <w:rFonts w:eastAsia="Arial Unicode MS"/>
        </w:rPr>
        <w:t xml:space="preserve"> </w:t>
      </w:r>
    </w:p>
    <w:p w14:paraId="2E091982" w14:textId="77777777" w:rsidR="00F13AEF" w:rsidRPr="00F43FB7" w:rsidRDefault="00F13AEF" w:rsidP="00F13AEF">
      <w:pPr>
        <w:spacing w:before="100" w:line="240" w:lineRule="auto"/>
        <w:ind w:left="709"/>
        <w:rPr>
          <w:rFonts w:eastAsia="Arial Unicode MS"/>
        </w:rPr>
      </w:pPr>
      <w:r w:rsidRPr="00F43FB7">
        <w:rPr>
          <w:rFonts w:eastAsia="Arial Unicode MS"/>
        </w:rPr>
        <w:lastRenderedPageBreak/>
        <w:t>Istituzione dell'Osservatorio nazionale per l'integrazione delle politiche per la parità di genere.</w:t>
      </w:r>
    </w:p>
    <w:p w14:paraId="2E244CB2" w14:textId="67AB8B5A"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 xml:space="preserve">Decreto del Ministro del Lavoro e delle Politiche Sociali del 29 marzo 2022 </w:t>
      </w:r>
    </w:p>
    <w:p w14:paraId="419F128B" w14:textId="77777777" w:rsidR="00F13AEF" w:rsidRDefault="00F13AEF" w:rsidP="00F13AEF">
      <w:pPr>
        <w:spacing w:before="100" w:line="240" w:lineRule="auto"/>
        <w:ind w:left="709"/>
        <w:rPr>
          <w:rFonts w:eastAsia="Arial Unicode MS"/>
        </w:rPr>
      </w:pPr>
      <w:r w:rsidRPr="00F43FB7">
        <w:rPr>
          <w:rFonts w:eastAsia="Arial Unicode MS"/>
        </w:rPr>
        <w:t>Definizione delle forme, dei contenuti e delle modalità dell’attività ispettiva sulle imprese sociali, nonché' del contributo per l’attività ispettiva da porre a loro carico e l'individuazione dei criteri, dei requisiti e delle procedure per il riconoscimento degli enti associativi tra imprese sociali, e le forme di vigilanza su tali enti da parte del Ministero del lavoro e delle politiche sociali.</w:t>
      </w:r>
    </w:p>
    <w:p w14:paraId="41D6E886" w14:textId="015E1197"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Decreto del Presidente del Consiglio dei ministri del 29 aprile 2022</w:t>
      </w:r>
      <w:r w:rsidRPr="00286441">
        <w:rPr>
          <w:rFonts w:eastAsia="Arial Unicode MS"/>
        </w:rPr>
        <w:t xml:space="preserve"> </w:t>
      </w:r>
    </w:p>
    <w:p w14:paraId="6CA3408F" w14:textId="77777777" w:rsidR="00F13AEF" w:rsidRPr="00F43FB7" w:rsidRDefault="00F13AEF" w:rsidP="00F13AEF">
      <w:pPr>
        <w:spacing w:before="100" w:line="240" w:lineRule="auto"/>
        <w:ind w:left="709"/>
        <w:rPr>
          <w:rFonts w:eastAsia="Arial Unicode MS"/>
        </w:rPr>
      </w:pPr>
      <w:r w:rsidRPr="00F43FB7">
        <w:rPr>
          <w:rFonts w:eastAsia="Arial Unicode MS"/>
        </w:rPr>
        <w:t>Parametri per il conseguimento della certificazione della parità di genere alle imprese e coinvolgimento delle rappresentanze sindacali aziendali e delle consigliere e consiglieri territoriali e regionali di parità.</w:t>
      </w:r>
    </w:p>
    <w:p w14:paraId="4DF08CA8" w14:textId="32EA5348"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w:t>
      </w:r>
      <w:r w:rsidRPr="00286441">
        <w:rPr>
          <w:rFonts w:eastAsia="Arial Unicode MS"/>
        </w:rPr>
        <w:t xml:space="preserve"> </w:t>
      </w:r>
      <w:r w:rsidRPr="00286441">
        <w:rPr>
          <w:rFonts w:eastAsia="Arial Unicode MS"/>
          <w:bCs/>
        </w:rPr>
        <w:t>legislativo 30 giugno 2022, n. 105</w:t>
      </w:r>
    </w:p>
    <w:p w14:paraId="2050F9A7" w14:textId="77777777" w:rsidR="00F13AEF" w:rsidRPr="00F43FB7" w:rsidRDefault="00F13AEF" w:rsidP="00F13AEF">
      <w:pPr>
        <w:spacing w:before="100" w:line="240" w:lineRule="auto"/>
        <w:ind w:left="709"/>
        <w:rPr>
          <w:rFonts w:eastAsia="Arial Unicode MS"/>
        </w:rPr>
      </w:pPr>
      <w:r w:rsidRPr="00F43FB7">
        <w:rPr>
          <w:rFonts w:eastAsia="Arial Unicode MS"/>
        </w:rPr>
        <w:t>Attuazione della direttiva (UE) 2019/1158 del Parlamento europeo e del Consiglio, del 20 giugno 2019, relativa all'equilibrio tra attività professionale e vita familiare per i genitori e i prestatori di assistenza e che abroga la direttiva 2010/18/UE del Consiglio.</w:t>
      </w:r>
    </w:p>
    <w:p w14:paraId="5D862F5E" w14:textId="1B2549FA" w:rsidR="00F13AEF" w:rsidRPr="00286441" w:rsidRDefault="00F13AEF" w:rsidP="00286441">
      <w:pPr>
        <w:pStyle w:val="Paragrafoelenco"/>
        <w:numPr>
          <w:ilvl w:val="0"/>
          <w:numId w:val="12"/>
        </w:numPr>
        <w:spacing w:before="100" w:line="240" w:lineRule="auto"/>
        <w:rPr>
          <w:rFonts w:eastAsia="Arial Unicode MS"/>
        </w:rPr>
      </w:pPr>
      <w:r w:rsidRPr="00286441">
        <w:rPr>
          <w:rFonts w:eastAsia="Arial Unicode MS"/>
          <w:bCs/>
        </w:rPr>
        <w:t>Circolare</w:t>
      </w:r>
      <w:r w:rsidRPr="00286441">
        <w:rPr>
          <w:rFonts w:eastAsia="Arial Unicode MS"/>
        </w:rPr>
        <w:t xml:space="preserve"> </w:t>
      </w:r>
      <w:r w:rsidRPr="00286441">
        <w:rPr>
          <w:rFonts w:eastAsia="Arial Unicode MS"/>
          <w:bCs/>
        </w:rPr>
        <w:t>INPS n. 3066 del 4 agosto 2022</w:t>
      </w:r>
      <w:r w:rsidRPr="00286441">
        <w:rPr>
          <w:rFonts w:eastAsia="Arial Unicode MS"/>
        </w:rPr>
        <w:t xml:space="preserve"> </w:t>
      </w:r>
    </w:p>
    <w:p w14:paraId="7FD40FB9" w14:textId="77777777" w:rsidR="00F13AEF" w:rsidRPr="00F43FB7" w:rsidRDefault="00F13AEF" w:rsidP="00F13AEF">
      <w:pPr>
        <w:spacing w:before="100" w:line="240" w:lineRule="auto"/>
        <w:ind w:left="709"/>
        <w:rPr>
          <w:rFonts w:eastAsia="Arial Unicode MS"/>
        </w:rPr>
      </w:pPr>
      <w:r w:rsidRPr="00F43FB7">
        <w:rPr>
          <w:rFonts w:eastAsia="Arial Unicode MS"/>
        </w:rPr>
        <w:t>Nuove regole in materia di congedo di paternità obbligatorio e modifiche al congedo parentale per entrambi i genitori</w:t>
      </w:r>
    </w:p>
    <w:p w14:paraId="056C1F9A" w14:textId="72BD6A67"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Legge 5 agosto 2022, n. 118</w:t>
      </w:r>
    </w:p>
    <w:p w14:paraId="2004FFEF" w14:textId="77777777" w:rsidR="00F13AEF" w:rsidRPr="00F43FB7" w:rsidRDefault="00F13AEF" w:rsidP="00F13AEF">
      <w:pPr>
        <w:spacing w:before="100" w:line="240" w:lineRule="auto"/>
        <w:ind w:left="709"/>
        <w:rPr>
          <w:rFonts w:eastAsia="Arial Unicode MS"/>
        </w:rPr>
      </w:pPr>
      <w:r w:rsidRPr="00F43FB7">
        <w:rPr>
          <w:rFonts w:eastAsia="Arial Unicode MS"/>
        </w:rPr>
        <w:t>Legge annuale per il mercato e la concorrenza 2021. </w:t>
      </w:r>
    </w:p>
    <w:p w14:paraId="7ADB3502" w14:textId="601F7E9B"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Regolamento (UE) 2023/435 del Parlamento europeo e del Consiglio del 27 febbraio 2023</w:t>
      </w:r>
    </w:p>
    <w:p w14:paraId="468D8EFA" w14:textId="77777777" w:rsidR="00F13AEF" w:rsidRPr="00F43FB7" w:rsidRDefault="00F13AEF" w:rsidP="00F13AEF">
      <w:pPr>
        <w:spacing w:before="100" w:line="240" w:lineRule="auto"/>
        <w:ind w:left="709"/>
        <w:rPr>
          <w:rFonts w:eastAsia="Arial Unicode MS"/>
        </w:rPr>
      </w:pPr>
      <w:r w:rsidRPr="00F43FB7">
        <w:rPr>
          <w:rFonts w:eastAsia="Arial Unicode MS"/>
        </w:rPr>
        <w:t xml:space="preserve">Modifiche al regolamento (UE) 2021/241 per quanto riguarda l'inserimento di capitoli dedicati al piano </w:t>
      </w:r>
      <w:proofErr w:type="spellStart"/>
      <w:r w:rsidRPr="00F43FB7">
        <w:rPr>
          <w:rFonts w:eastAsia="Arial Unicode MS"/>
        </w:rPr>
        <w:t>REPowerEU</w:t>
      </w:r>
      <w:proofErr w:type="spellEnd"/>
      <w:r w:rsidRPr="00F43FB7">
        <w:rPr>
          <w:rFonts w:eastAsia="Arial Unicode MS"/>
        </w:rPr>
        <w:t xml:space="preserve"> nei piani per la ripresa e la resilienza e che modifica i regolamenti (UE) n. 1303/2013, (UE) 2021/1060 e (UE) 2021/1755, e la direttiva 2003/87/CE.</w:t>
      </w:r>
    </w:p>
    <w:p w14:paraId="3FB2F366" w14:textId="0858A818" w:rsidR="00F13AEF" w:rsidRPr="00286441" w:rsidRDefault="00F13AEF" w:rsidP="00286441">
      <w:pPr>
        <w:pStyle w:val="Paragrafoelenco"/>
        <w:numPr>
          <w:ilvl w:val="0"/>
          <w:numId w:val="12"/>
        </w:numPr>
        <w:spacing w:before="100" w:line="240" w:lineRule="auto"/>
        <w:rPr>
          <w:bCs/>
        </w:rPr>
      </w:pPr>
      <w:r w:rsidRPr="00286441">
        <w:rPr>
          <w:bCs/>
        </w:rPr>
        <w:t>Direttiva (UE) n. 2023/970 del Parlamento Europeo e del Consiglio del 10 maggio 2023</w:t>
      </w:r>
    </w:p>
    <w:p w14:paraId="4F305D15" w14:textId="77777777" w:rsidR="00F13AEF" w:rsidRPr="00F43FB7" w:rsidRDefault="00F13AEF" w:rsidP="00F13AEF">
      <w:pPr>
        <w:spacing w:before="100" w:line="240" w:lineRule="auto"/>
        <w:ind w:left="709"/>
      </w:pPr>
      <w:r w:rsidRPr="00F43FB7">
        <w:t>Strumenti per rafforzare l'applicazione del principio della parità di retribuzione tra uomini e donne per uno stesso lavoro o per un lavoro di pari valore attraverso la trasparenza retributiva e i relativi meccanismi di applicazione.</w:t>
      </w:r>
    </w:p>
    <w:p w14:paraId="6E9478F6" w14:textId="6304773F"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Decreto legislativo 6 dicembre 2023, n. 224</w:t>
      </w:r>
    </w:p>
    <w:p w14:paraId="50F1550D" w14:textId="77777777" w:rsidR="00F13AEF" w:rsidRPr="00F43FB7" w:rsidRDefault="00F13AEF" w:rsidP="00F13AEF">
      <w:pPr>
        <w:spacing w:before="100" w:line="240" w:lineRule="auto"/>
        <w:ind w:left="709"/>
        <w:rPr>
          <w:rFonts w:eastAsia="Arial Unicode MS"/>
        </w:rPr>
      </w:pPr>
      <w:r w:rsidRPr="00F43FB7">
        <w:rPr>
          <w:rFonts w:eastAsia="Arial Unicode MS"/>
        </w:rPr>
        <w:t>Adeguamento della normativa nazionale alle disposizioni del regolamento (UE) 2021/23 del Parlamento europeo e del Consiglio, del 16 dicembre 2020, relativo a un quadro di risanamento e risoluzione delle controparti centrali e recante modifica dei regolamenti (UE) n. 1095/2010, (UE) n. 648/2012, (UE) n. 600/2014, (UE) n. 806/2014 e (UE) 2015/2365 e delle direttive 2002/47/CE, 2004/25/CE, 2007/36/CE, 2014/59/UE e (UE) 2017/1132.</w:t>
      </w:r>
    </w:p>
    <w:p w14:paraId="5558ABEA" w14:textId="5BC6AED3"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 xml:space="preserve">Decreto-legge 2 marzo 2024, n. 19 </w:t>
      </w:r>
    </w:p>
    <w:p w14:paraId="45C801D4" w14:textId="77777777" w:rsidR="00F13AEF" w:rsidRPr="00F43FB7" w:rsidRDefault="00F13AEF" w:rsidP="00F13AEF">
      <w:pPr>
        <w:spacing w:before="100" w:line="240" w:lineRule="auto"/>
        <w:ind w:left="709"/>
        <w:rPr>
          <w:rFonts w:eastAsia="Arial Unicode MS"/>
        </w:rPr>
      </w:pPr>
      <w:r w:rsidRPr="00F43FB7">
        <w:rPr>
          <w:rFonts w:eastAsia="Arial Unicode MS"/>
        </w:rPr>
        <w:t>Ulteriori disposizioni urgenti per l'attuazione del Piano nazionale di ripresa e resilienza (PNRR)</w:t>
      </w:r>
    </w:p>
    <w:p w14:paraId="24FB0958" w14:textId="7862A4C9" w:rsidR="00F13AEF" w:rsidRPr="00286441" w:rsidRDefault="00F13AEF" w:rsidP="00286441">
      <w:pPr>
        <w:pStyle w:val="Paragrafoelenco"/>
        <w:numPr>
          <w:ilvl w:val="0"/>
          <w:numId w:val="12"/>
        </w:numPr>
        <w:spacing w:before="100" w:line="240" w:lineRule="auto"/>
        <w:rPr>
          <w:rFonts w:eastAsia="Arial Unicode MS"/>
          <w:bCs/>
        </w:rPr>
      </w:pPr>
      <w:r w:rsidRPr="00286441">
        <w:rPr>
          <w:rFonts w:eastAsia="Arial Unicode MS"/>
          <w:bCs/>
        </w:rPr>
        <w:t>Legge 29 aprile 2024, n. 56</w:t>
      </w:r>
    </w:p>
    <w:p w14:paraId="4DA23AF4" w14:textId="77777777" w:rsidR="00F13AEF" w:rsidRDefault="00F13AEF" w:rsidP="00F13AEF">
      <w:pPr>
        <w:spacing w:before="100" w:line="240" w:lineRule="auto"/>
        <w:ind w:left="709"/>
        <w:rPr>
          <w:rFonts w:eastAsia="Arial Unicode MS"/>
        </w:rPr>
      </w:pPr>
      <w:r w:rsidRPr="00F43FB7">
        <w:rPr>
          <w:rFonts w:eastAsia="Arial Unicode MS"/>
        </w:rPr>
        <w:t>Conversione, con modificazioni, del decreto-legge 2 marzo 2024, n. 19.</w:t>
      </w:r>
    </w:p>
    <w:p w14:paraId="62464A17"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 xml:space="preserve">Decreto Legislativo 26 marzo 2001, n. 151 </w:t>
      </w:r>
    </w:p>
    <w:p w14:paraId="3D9541D4" w14:textId="77777777" w:rsidR="00286441" w:rsidRPr="00286441" w:rsidRDefault="00286441" w:rsidP="00286441">
      <w:pPr>
        <w:spacing w:before="100" w:line="240" w:lineRule="auto"/>
        <w:ind w:left="709"/>
        <w:rPr>
          <w:rFonts w:eastAsia="Arial Unicode MS"/>
        </w:rPr>
      </w:pPr>
      <w:r w:rsidRPr="00286441">
        <w:rPr>
          <w:rFonts w:eastAsia="Arial Unicode MS"/>
        </w:rPr>
        <w:t>Testo unico delle disposizioni legislative in materia di tutela e sostegno della maternità e della paternità, a norma dell'articolo 15 della legge 8 marzo 2000, n. 53.</w:t>
      </w:r>
    </w:p>
    <w:p w14:paraId="220B23F4"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 xml:space="preserve">Decreto Legislativo 30 marzo 2001, n. 165 </w:t>
      </w:r>
    </w:p>
    <w:p w14:paraId="206F1B7D" w14:textId="77777777" w:rsidR="00286441" w:rsidRPr="00286441" w:rsidRDefault="00286441" w:rsidP="00286441">
      <w:pPr>
        <w:spacing w:before="100" w:line="240" w:lineRule="auto"/>
        <w:ind w:left="709"/>
        <w:rPr>
          <w:rFonts w:eastAsia="Arial Unicode MS"/>
        </w:rPr>
      </w:pPr>
      <w:r w:rsidRPr="00286441">
        <w:rPr>
          <w:rFonts w:eastAsia="Arial Unicode MS"/>
        </w:rPr>
        <w:t>Norme generali sull'ordinamento del lavoro alle dipendenze delle amministrazioni pubbliche.</w:t>
      </w:r>
    </w:p>
    <w:p w14:paraId="617E47B3"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lastRenderedPageBreak/>
        <w:t>Risoluzione del Parlamento europeo del 3 luglio 2003 n. 2022/2198</w:t>
      </w:r>
    </w:p>
    <w:p w14:paraId="44918E32" w14:textId="77777777" w:rsidR="00286441" w:rsidRPr="00286441" w:rsidRDefault="00286441" w:rsidP="00286441">
      <w:pPr>
        <w:spacing w:before="100" w:line="240" w:lineRule="auto"/>
        <w:ind w:left="709"/>
        <w:rPr>
          <w:rFonts w:eastAsia="Arial Unicode MS"/>
        </w:rPr>
      </w:pPr>
      <w:r w:rsidRPr="00286441">
        <w:rPr>
          <w:rFonts w:eastAsia="Arial Unicode MS"/>
        </w:rPr>
        <w:t>La costruzione dei bilanci pubblici secondo la prospettiva di genere.</w:t>
      </w:r>
    </w:p>
    <w:p w14:paraId="1F08EAC9"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 xml:space="preserve">Decreto Legislativo 11 aprile 2006, n.198 </w:t>
      </w:r>
    </w:p>
    <w:p w14:paraId="3423D399" w14:textId="77777777" w:rsidR="00286441" w:rsidRPr="00286441" w:rsidRDefault="00286441" w:rsidP="00286441">
      <w:pPr>
        <w:spacing w:before="100" w:line="240" w:lineRule="auto"/>
        <w:ind w:left="709"/>
        <w:rPr>
          <w:rFonts w:eastAsia="Arial Unicode MS"/>
        </w:rPr>
      </w:pPr>
      <w:r w:rsidRPr="00286441">
        <w:rPr>
          <w:rFonts w:eastAsia="Arial Unicode MS"/>
        </w:rPr>
        <w:t xml:space="preserve">Codice delle pari opportunità tra uomo e donna, a norma dell'articolo 6 della legge 28 novembre 2005, n.246. </w:t>
      </w:r>
    </w:p>
    <w:p w14:paraId="5D795F5C"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Legge 22 dicembre 2008, n. 203</w:t>
      </w:r>
    </w:p>
    <w:p w14:paraId="144C30E7" w14:textId="77777777" w:rsidR="00286441" w:rsidRPr="00286441" w:rsidRDefault="00286441" w:rsidP="00286441">
      <w:pPr>
        <w:spacing w:before="100" w:line="240" w:lineRule="auto"/>
        <w:ind w:left="709"/>
        <w:rPr>
          <w:rFonts w:eastAsia="Arial Unicode MS"/>
        </w:rPr>
      </w:pPr>
      <w:r w:rsidRPr="00286441">
        <w:rPr>
          <w:rFonts w:eastAsia="Arial Unicode MS"/>
        </w:rPr>
        <w:t>Disposizioni per la formazione del bilancio annuale e pluriennale dello Stato (legge finanziaria 2009).</w:t>
      </w:r>
    </w:p>
    <w:p w14:paraId="49FCD7A6" w14:textId="77777777" w:rsidR="00286441" w:rsidRPr="00286441" w:rsidRDefault="00286441" w:rsidP="00286441">
      <w:pPr>
        <w:numPr>
          <w:ilvl w:val="0"/>
          <w:numId w:val="11"/>
        </w:numPr>
        <w:spacing w:before="100" w:line="240" w:lineRule="auto"/>
        <w:rPr>
          <w:rFonts w:eastAsia="Arial Unicode MS"/>
        </w:rPr>
      </w:pPr>
      <w:r w:rsidRPr="00286441">
        <w:rPr>
          <w:rFonts w:eastAsia="Arial Unicode MS"/>
          <w:b/>
          <w:bCs/>
        </w:rPr>
        <w:t>Legge</w:t>
      </w:r>
      <w:r w:rsidRPr="00286441">
        <w:rPr>
          <w:rFonts w:eastAsia="Arial Unicode MS"/>
        </w:rPr>
        <w:t xml:space="preserve"> </w:t>
      </w:r>
      <w:r w:rsidRPr="00286441">
        <w:rPr>
          <w:rFonts w:eastAsia="Arial Unicode MS"/>
          <w:b/>
          <w:bCs/>
        </w:rPr>
        <w:t>31 dicembre 2009, n. 196</w:t>
      </w:r>
    </w:p>
    <w:p w14:paraId="03E9CAF5" w14:textId="77777777" w:rsidR="00286441" w:rsidRPr="00286441" w:rsidRDefault="00286441" w:rsidP="00286441">
      <w:pPr>
        <w:spacing w:before="100" w:line="240" w:lineRule="auto"/>
        <w:ind w:left="709"/>
        <w:rPr>
          <w:rFonts w:eastAsia="Arial Unicode MS"/>
        </w:rPr>
      </w:pPr>
      <w:r w:rsidRPr="00286441">
        <w:rPr>
          <w:rFonts w:eastAsia="Arial Unicode MS"/>
        </w:rPr>
        <w:t xml:space="preserve">Legge di contabilità e finanza pubblica (art. 38 </w:t>
      </w:r>
      <w:proofErr w:type="spellStart"/>
      <w:r w:rsidRPr="00286441">
        <w:rPr>
          <w:rFonts w:eastAsia="Arial Unicode MS"/>
        </w:rPr>
        <w:t>septies</w:t>
      </w:r>
      <w:proofErr w:type="spellEnd"/>
      <w:r w:rsidRPr="00286441">
        <w:rPr>
          <w:rFonts w:eastAsia="Arial Unicode MS"/>
        </w:rPr>
        <w:t xml:space="preserve"> – Inquadramento generale del bilancio di genere per il rendiconto dello Stato).</w:t>
      </w:r>
    </w:p>
    <w:p w14:paraId="3B1BCFB4"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Decreto della Presidenza del Consiglio dei ministri 15 aprile 2013</w:t>
      </w:r>
    </w:p>
    <w:p w14:paraId="34FBF6CC" w14:textId="77777777" w:rsidR="00286441" w:rsidRPr="00286441" w:rsidRDefault="00286441" w:rsidP="00286441">
      <w:pPr>
        <w:spacing w:before="100" w:line="240" w:lineRule="auto"/>
        <w:ind w:left="709"/>
        <w:rPr>
          <w:rFonts w:eastAsia="Arial Unicode MS"/>
        </w:rPr>
      </w:pPr>
      <w:r w:rsidRPr="00286441">
        <w:rPr>
          <w:rFonts w:eastAsia="Arial Unicode MS"/>
        </w:rPr>
        <w:t>Ripartizione delle risorse di cui all'ordinanza del Capo del Dipartimento della protezione civile 20 febbraio 2013, n. 52, emanata in attuazione dell'articolo 11 del decreto-legge 28 aprile 2009 n. 39, convertito, con modificazioni, dalla legge 24 giugno 2009, n. 77, per l’annualità 2012 (Dipartimento per le pari opportunità, approvazione della Convenzione con MISE e MEF).</w:t>
      </w:r>
    </w:p>
    <w:p w14:paraId="4137B1BF"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Decreto</w:t>
      </w:r>
      <w:r w:rsidRPr="00286441">
        <w:rPr>
          <w:rFonts w:eastAsia="Arial Unicode MS"/>
        </w:rPr>
        <w:t xml:space="preserve"> </w:t>
      </w:r>
      <w:r w:rsidRPr="00286441">
        <w:rPr>
          <w:rFonts w:eastAsia="Arial Unicode MS"/>
          <w:b/>
          <w:bCs/>
        </w:rPr>
        <w:t>del Presidente del Consiglio dei ministri, di concerto con il Ministro dell’economia e delle finanze, del 16 giugno 2017.</w:t>
      </w:r>
    </w:p>
    <w:p w14:paraId="10AACABA" w14:textId="77777777" w:rsidR="00286441" w:rsidRPr="00286441" w:rsidRDefault="00286441" w:rsidP="00286441">
      <w:pPr>
        <w:spacing w:before="100" w:line="240" w:lineRule="auto"/>
        <w:ind w:left="709"/>
        <w:rPr>
          <w:rFonts w:eastAsia="Arial Unicode MS"/>
        </w:rPr>
      </w:pPr>
      <w:r w:rsidRPr="00286441">
        <w:rPr>
          <w:rFonts w:eastAsia="Arial Unicode MS"/>
        </w:rPr>
        <w:t xml:space="preserve">Metodologia generale del bilancio di genere ai fini della rendicontazione, tenuto conto anche delle esperienze già maturate nei bilanci degli Enti territoriali. </w:t>
      </w:r>
    </w:p>
    <w:p w14:paraId="032FE8FD"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 xml:space="preserve">Legge 5 novembre 2021, n. 162 </w:t>
      </w:r>
    </w:p>
    <w:p w14:paraId="6009D3DA" w14:textId="77777777" w:rsidR="00286441" w:rsidRPr="00286441" w:rsidRDefault="00286441" w:rsidP="00286441">
      <w:pPr>
        <w:spacing w:before="100" w:line="240" w:lineRule="auto"/>
        <w:ind w:left="709"/>
        <w:rPr>
          <w:rFonts w:eastAsia="Arial Unicode MS"/>
        </w:rPr>
      </w:pPr>
      <w:r w:rsidRPr="00286441">
        <w:rPr>
          <w:rFonts w:eastAsia="Arial Unicode MS"/>
        </w:rPr>
        <w:t>Modifiche al codice di cui al D.lgs. 11 aprile 2006 n.198 e altre disposizioni in materia di parità tra uomo e donna in ambito lavorativo.</w:t>
      </w:r>
    </w:p>
    <w:p w14:paraId="741136E6"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Ministero per l’Economia e le Finanze - Circolare RGS del 28 aprile 2022, n. 20</w:t>
      </w:r>
    </w:p>
    <w:p w14:paraId="53740B31" w14:textId="77777777" w:rsidR="00286441" w:rsidRPr="00286441" w:rsidRDefault="00286441" w:rsidP="00286441">
      <w:pPr>
        <w:spacing w:before="100" w:line="240" w:lineRule="auto"/>
        <w:ind w:left="709"/>
        <w:rPr>
          <w:rFonts w:eastAsia="Arial Unicode MS"/>
        </w:rPr>
      </w:pPr>
      <w:r w:rsidRPr="00286441">
        <w:rPr>
          <w:rFonts w:eastAsia="Arial Unicode MS"/>
        </w:rPr>
        <w:t>Bilancio di genere. Linee guida e avvio delle attività relative al Rendiconto generale dello Stato 2021</w:t>
      </w:r>
    </w:p>
    <w:p w14:paraId="25DE3789"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Prassi di Riferimento UNI 125:2022</w:t>
      </w:r>
    </w:p>
    <w:p w14:paraId="5905495A" w14:textId="77777777" w:rsidR="00286441" w:rsidRPr="00286441" w:rsidRDefault="00286441" w:rsidP="00286441">
      <w:pPr>
        <w:spacing w:before="100" w:line="240" w:lineRule="auto"/>
        <w:ind w:left="709"/>
        <w:rPr>
          <w:rFonts w:eastAsia="Arial Unicode MS"/>
        </w:rPr>
      </w:pPr>
      <w:r w:rsidRPr="00286441">
        <w:rPr>
          <w:rFonts w:eastAsia="Arial Unicode MS"/>
        </w:rPr>
        <w:t xml:space="preserve">Linee guida sul sistema di gestione per la parità di genere che prevede l’adozione di specifici KPI (Key Performance </w:t>
      </w:r>
      <w:proofErr w:type="spellStart"/>
      <w:r w:rsidRPr="00286441">
        <w:rPr>
          <w:rFonts w:eastAsia="Arial Unicode MS"/>
        </w:rPr>
        <w:t>Indicator</w:t>
      </w:r>
      <w:proofErr w:type="spellEnd"/>
      <w:r w:rsidRPr="00286441">
        <w:rPr>
          <w:rFonts w:eastAsia="Arial Unicode MS"/>
        </w:rPr>
        <w:t xml:space="preserve"> - Indicatori chiave di prestazione) inerenti alle Politiche di parità di genere nelle organizzazioni.</w:t>
      </w:r>
    </w:p>
    <w:p w14:paraId="3ADBDF95" w14:textId="77777777" w:rsidR="00286441" w:rsidRPr="00286441" w:rsidRDefault="00286441" w:rsidP="00286441">
      <w:pPr>
        <w:numPr>
          <w:ilvl w:val="0"/>
          <w:numId w:val="11"/>
        </w:numPr>
        <w:spacing w:before="100" w:line="240" w:lineRule="auto"/>
        <w:rPr>
          <w:rFonts w:eastAsia="Arial Unicode MS"/>
          <w:b/>
          <w:bCs/>
        </w:rPr>
      </w:pPr>
      <w:r w:rsidRPr="00286441">
        <w:rPr>
          <w:rFonts w:eastAsia="Arial Unicode MS"/>
          <w:b/>
          <w:bCs/>
        </w:rPr>
        <w:t>Ministero per l’Economia e le Finanze - Circolare RGS del 16 maggio 2023, n. 22</w:t>
      </w:r>
    </w:p>
    <w:p w14:paraId="201D2176" w14:textId="77777777" w:rsidR="00286441" w:rsidRPr="00286441" w:rsidRDefault="00286441" w:rsidP="00286441">
      <w:pPr>
        <w:spacing w:before="100" w:line="240" w:lineRule="auto"/>
        <w:ind w:left="709"/>
        <w:rPr>
          <w:rFonts w:eastAsia="Arial Unicode MS"/>
        </w:rPr>
      </w:pPr>
      <w:r w:rsidRPr="00286441">
        <w:rPr>
          <w:rFonts w:eastAsia="Arial Unicode MS"/>
        </w:rPr>
        <w:t>Bilancio di genere. Linee guida e avvio delle attività relative al Rendiconto generale dello Stato 2022.</w:t>
      </w:r>
    </w:p>
    <w:p w14:paraId="1899668A" w14:textId="77777777" w:rsidR="00286441" w:rsidRPr="00286441" w:rsidRDefault="00286441" w:rsidP="00286441">
      <w:pPr>
        <w:numPr>
          <w:ilvl w:val="0"/>
          <w:numId w:val="11"/>
        </w:numPr>
        <w:spacing w:before="100" w:line="240" w:lineRule="auto"/>
        <w:rPr>
          <w:rFonts w:eastAsia="Arial Unicode MS"/>
          <w:b/>
        </w:rPr>
      </w:pPr>
      <w:r w:rsidRPr="00286441">
        <w:rPr>
          <w:rFonts w:eastAsia="Arial Unicode MS"/>
          <w:b/>
        </w:rPr>
        <w:t>Ministero per l’Economia e le Finanze - Circolare RGS del 16 maggio 2024, n. 26</w:t>
      </w:r>
    </w:p>
    <w:p w14:paraId="585B6444" w14:textId="20C4A01C" w:rsidR="00286441" w:rsidRPr="00AC0C47" w:rsidRDefault="00286441" w:rsidP="00AC0C47">
      <w:pPr>
        <w:spacing w:before="100" w:line="240" w:lineRule="auto"/>
        <w:ind w:left="709"/>
        <w:rPr>
          <w:rFonts w:eastAsia="Arial Unicode MS"/>
          <w:bCs/>
        </w:rPr>
      </w:pPr>
      <w:r w:rsidRPr="00286441">
        <w:rPr>
          <w:rFonts w:eastAsia="Arial Unicode MS"/>
          <w:bCs/>
        </w:rPr>
        <w:t>Bilancio di genere. Linee guida e avvio delle attività relative al Rendiconto generale dello Stato 2023.</w:t>
      </w:r>
    </w:p>
    <w:p w14:paraId="63BC6F24" w14:textId="531E40E6" w:rsidR="00F13AEF" w:rsidRPr="00AC0C47" w:rsidRDefault="00F13AEF" w:rsidP="00AC0C47">
      <w:pPr>
        <w:pStyle w:val="Paragrafoelenco"/>
        <w:numPr>
          <w:ilvl w:val="0"/>
          <w:numId w:val="11"/>
        </w:numPr>
        <w:autoSpaceDE w:val="0"/>
        <w:spacing w:before="240" w:after="240"/>
        <w:rPr>
          <w:rFonts w:eastAsia="Arial Unicode MS"/>
        </w:rPr>
      </w:pPr>
      <w:r w:rsidRPr="00AC0C47">
        <w:rPr>
          <w:rFonts w:eastAsia="Arial Unicode MS"/>
        </w:rPr>
        <w:t xml:space="preserve">UNI EN ISO 9000 </w:t>
      </w:r>
      <w:r w:rsidR="00AC0C47">
        <w:rPr>
          <w:rFonts w:eastAsia="Arial Unicode MS"/>
        </w:rPr>
        <w:t>“</w:t>
      </w:r>
      <w:r w:rsidRPr="00AC0C47">
        <w:rPr>
          <w:rFonts w:eastAsia="Arial Unicode MS"/>
          <w:b w:val="0"/>
          <w:bCs/>
        </w:rPr>
        <w:t>Sistemi di gestione per la qualità - Fondamenti e vocabolario</w:t>
      </w:r>
      <w:r w:rsidR="00AC0C47">
        <w:rPr>
          <w:rFonts w:eastAsia="Arial Unicode MS"/>
          <w:b w:val="0"/>
          <w:bCs/>
        </w:rPr>
        <w:t>”</w:t>
      </w:r>
    </w:p>
    <w:p w14:paraId="4F00A360" w14:textId="213255F6" w:rsidR="00F13AEF" w:rsidRPr="00AC0C47" w:rsidRDefault="00F13AEF" w:rsidP="00AC0C47">
      <w:pPr>
        <w:pStyle w:val="Paragrafoelenco"/>
        <w:numPr>
          <w:ilvl w:val="0"/>
          <w:numId w:val="11"/>
        </w:numPr>
        <w:autoSpaceDE w:val="0"/>
        <w:spacing w:before="240" w:after="240"/>
        <w:rPr>
          <w:rFonts w:eastAsia="Arial Unicode MS"/>
        </w:rPr>
      </w:pPr>
      <w:r w:rsidRPr="00AC0C47">
        <w:rPr>
          <w:rFonts w:eastAsia="Arial Unicode MS"/>
        </w:rPr>
        <w:t xml:space="preserve">UNI EN ISO 9001 </w:t>
      </w:r>
      <w:r w:rsidR="00AC0C47">
        <w:rPr>
          <w:rFonts w:eastAsia="Arial Unicode MS"/>
        </w:rPr>
        <w:t>“</w:t>
      </w:r>
      <w:r w:rsidRPr="00AC0C47">
        <w:rPr>
          <w:rFonts w:eastAsia="Arial Unicode MS"/>
          <w:b w:val="0"/>
          <w:bCs/>
        </w:rPr>
        <w:t>Sistemi di gestione per la qualità</w:t>
      </w:r>
      <w:r w:rsidR="00AC0C47">
        <w:rPr>
          <w:rFonts w:eastAsia="Arial Unicode MS"/>
          <w:b w:val="0"/>
          <w:bCs/>
        </w:rPr>
        <w:t>”</w:t>
      </w:r>
    </w:p>
    <w:p w14:paraId="1C55AC70" w14:textId="54485669" w:rsidR="00F13AEF" w:rsidRPr="00AC0C47" w:rsidRDefault="00F13AEF" w:rsidP="00AC0C47">
      <w:pPr>
        <w:pStyle w:val="Paragrafoelenco"/>
        <w:numPr>
          <w:ilvl w:val="0"/>
          <w:numId w:val="11"/>
        </w:numPr>
        <w:autoSpaceDE w:val="0"/>
        <w:spacing w:before="240" w:after="240"/>
        <w:rPr>
          <w:rFonts w:eastAsia="Arial Unicode MS"/>
          <w:b w:val="0"/>
          <w:bCs/>
        </w:rPr>
      </w:pPr>
      <w:r w:rsidRPr="00AC0C47">
        <w:rPr>
          <w:rFonts w:eastAsia="Arial Unicode MS"/>
        </w:rPr>
        <w:t xml:space="preserve">UNI EN ISO 26000 </w:t>
      </w:r>
      <w:r w:rsidR="00AC0C47" w:rsidRPr="00AC0C47">
        <w:rPr>
          <w:rFonts w:eastAsia="Arial Unicode MS"/>
          <w:b w:val="0"/>
          <w:bCs/>
        </w:rPr>
        <w:t>“</w:t>
      </w:r>
      <w:r w:rsidRPr="00AC0C47">
        <w:rPr>
          <w:rFonts w:eastAsia="Arial Unicode MS"/>
          <w:b w:val="0"/>
          <w:bCs/>
        </w:rPr>
        <w:t>Guida alla responsabilità sociale</w:t>
      </w:r>
      <w:r w:rsidR="00AC0C47" w:rsidRPr="00AC0C47">
        <w:rPr>
          <w:rFonts w:eastAsia="Arial Unicode MS"/>
          <w:b w:val="0"/>
          <w:bCs/>
        </w:rPr>
        <w:t>”</w:t>
      </w:r>
    </w:p>
    <w:p w14:paraId="0E411838" w14:textId="784F8392" w:rsidR="00F27117" w:rsidRPr="00AC0C47" w:rsidRDefault="00F13AEF" w:rsidP="00AC0C47">
      <w:pPr>
        <w:pStyle w:val="Paragrafoelenco"/>
        <w:numPr>
          <w:ilvl w:val="0"/>
          <w:numId w:val="11"/>
        </w:numPr>
        <w:autoSpaceDE w:val="0"/>
        <w:spacing w:before="240" w:after="240"/>
        <w:rPr>
          <w:rFonts w:eastAsia="Arial Unicode MS"/>
        </w:rPr>
      </w:pPr>
      <w:r w:rsidRPr="00AC0C47">
        <w:rPr>
          <w:rFonts w:eastAsia="Arial Unicode MS"/>
        </w:rPr>
        <w:t>UNI ISO 30415</w:t>
      </w:r>
      <w:r w:rsidR="00AC0C47">
        <w:rPr>
          <w:rFonts w:eastAsia="Arial Unicode MS"/>
        </w:rPr>
        <w:t xml:space="preserve"> </w:t>
      </w:r>
      <w:r w:rsidR="00AC0C47" w:rsidRPr="00AC0C47">
        <w:rPr>
          <w:rFonts w:eastAsia="Arial Unicode MS"/>
          <w:b w:val="0"/>
          <w:bCs/>
        </w:rPr>
        <w:t>“</w:t>
      </w:r>
      <w:r w:rsidRPr="00AC0C47">
        <w:rPr>
          <w:rFonts w:eastAsia="Arial Unicode MS"/>
          <w:b w:val="0"/>
          <w:bCs/>
        </w:rPr>
        <w:t>Gestione delle risorse umane - Diversità e inclusione</w:t>
      </w:r>
      <w:r w:rsidR="00AC0C47" w:rsidRPr="00AC0C47">
        <w:rPr>
          <w:rFonts w:eastAsia="Arial Unicode MS"/>
          <w:b w:val="0"/>
          <w:bCs/>
        </w:rPr>
        <w:t>”</w:t>
      </w:r>
    </w:p>
    <w:p w14:paraId="724ACE51" w14:textId="77777777" w:rsidR="00A90759" w:rsidRPr="003128ED" w:rsidRDefault="00A90759" w:rsidP="00310E31">
      <w:pPr>
        <w:spacing w:before="240" w:line="240" w:lineRule="auto"/>
        <w:rPr>
          <w:lang w:eastAsia="it-IT"/>
        </w:rPr>
      </w:pPr>
    </w:p>
    <w:sectPr w:rsidR="00A90759" w:rsidRPr="003128ED" w:rsidSect="005D1065">
      <w:pgSz w:w="11906" w:h="16838" w:code="9"/>
      <w:pgMar w:top="1440" w:right="1077" w:bottom="1440" w:left="107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513AE" w14:textId="77777777" w:rsidR="00634195" w:rsidRDefault="00634195">
      <w:pPr>
        <w:spacing w:line="240" w:lineRule="auto"/>
      </w:pPr>
      <w:r>
        <w:separator/>
      </w:r>
    </w:p>
  </w:endnote>
  <w:endnote w:type="continuationSeparator" w:id="0">
    <w:p w14:paraId="32053F6F" w14:textId="77777777" w:rsidR="00634195" w:rsidRDefault="00634195">
      <w:pPr>
        <w:spacing w:line="240" w:lineRule="auto"/>
      </w:pPr>
      <w:r>
        <w:continuationSeparator/>
      </w:r>
    </w:p>
  </w:endnote>
  <w:endnote w:type="continuationNotice" w:id="1">
    <w:p w14:paraId="77B3AF64" w14:textId="77777777" w:rsidR="00634195" w:rsidRDefault="006341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80"/>
    <w:family w:val="auto"/>
    <w:notTrueType/>
    <w:pitch w:val="variable"/>
    <w:sig w:usb0="00000001" w:usb1="08070000" w:usb2="00000010" w:usb3="00000000" w:csb0="00020000" w:csb1="00000000"/>
  </w:font>
  <w:font w:name="Lohit Hindi">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itstream Vera Sans">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ewAster">
    <w:panose1 w:val="00000000000000000000"/>
    <w:charset w:val="00"/>
    <w:family w:val="roman"/>
    <w:notTrueType/>
    <w:pitch w:val="variable"/>
    <w:sig w:usb0="00000003" w:usb1="00000000" w:usb2="00000000" w:usb3="00000000" w:csb0="00000001"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44C6" w14:textId="77777777" w:rsidR="00E1033B" w:rsidRPr="003128ED" w:rsidRDefault="00E1033B" w:rsidP="009220B1">
    <w:pPr>
      <w:pStyle w:val="Pidipagina"/>
      <w:ind w:right="-319"/>
      <w:jc w:val="right"/>
    </w:pPr>
    <w:r w:rsidRPr="003128ED">
      <w:rPr>
        <w:sz w:val="20"/>
        <w:szCs w:val="20"/>
      </w:rPr>
      <w:t>© UNI</w:t>
    </w:r>
    <w:r w:rsidRPr="003128ED">
      <w:rPr>
        <w:sz w:val="20"/>
        <w:szCs w:val="20"/>
      </w:rPr>
      <w:tab/>
    </w:r>
    <w:r w:rsidRPr="003128ED">
      <w:rPr>
        <w:sz w:val="20"/>
        <w:szCs w:val="20"/>
      </w:rPr>
      <w:tab/>
    </w:r>
    <w:r w:rsidRPr="003128ED">
      <w:rPr>
        <w:sz w:val="20"/>
        <w:szCs w:val="20"/>
      </w:rPr>
      <w:tab/>
    </w:r>
    <w:r w:rsidRPr="003128ED">
      <w:rPr>
        <w:sz w:val="20"/>
        <w:szCs w:val="20"/>
      </w:rPr>
      <w:tab/>
    </w:r>
    <w:r w:rsidRPr="003128ED">
      <w:rPr>
        <w:sz w:val="20"/>
        <w:szCs w:val="20"/>
      </w:rPr>
      <w:tab/>
    </w:r>
    <w:r w:rsidRPr="003128ED">
      <w:rPr>
        <w:sz w:val="20"/>
        <w:szCs w:val="20"/>
      </w:rPr>
      <w:tab/>
    </w:r>
    <w:r w:rsidRPr="003128ED">
      <w:rPr>
        <w:sz w:val="20"/>
        <w:szCs w:val="20"/>
      </w:rPr>
      <w:tab/>
    </w:r>
    <w:r w:rsidRPr="003128ED">
      <w:rPr>
        <w:sz w:val="20"/>
        <w:szCs w:val="20"/>
      </w:rPr>
      <w:tab/>
    </w:r>
    <w:r w:rsidRPr="003128ED">
      <w:rPr>
        <w:sz w:val="20"/>
        <w:szCs w:val="20"/>
      </w:rPr>
      <w:tab/>
    </w:r>
    <w:r w:rsidRPr="003128ED">
      <w:rPr>
        <w:sz w:val="20"/>
        <w:szCs w:val="20"/>
      </w:rPr>
      <w:tab/>
    </w:r>
    <w:r w:rsidRPr="003128ED">
      <w:rPr>
        <w:sz w:val="20"/>
        <w:szCs w:val="20"/>
      </w:rPr>
      <w:tab/>
    </w:r>
    <w:r w:rsidRPr="003128ED">
      <w:rPr>
        <w:sz w:val="20"/>
        <w:szCs w:val="20"/>
      </w:rPr>
      <w:tab/>
    </w:r>
    <w:r w:rsidRPr="003128ED">
      <w:fldChar w:fldCharType="begin"/>
    </w:r>
    <w:r w:rsidRPr="003128ED">
      <w:instrText xml:space="preserve"> PAGE   \* MERGEFORMAT </w:instrText>
    </w:r>
    <w:r w:rsidRPr="003128ED">
      <w:fldChar w:fldCharType="separate"/>
    </w:r>
    <w:r w:rsidR="003128ED">
      <w:rPr>
        <w:noProof/>
      </w:rPr>
      <w:t>6</w:t>
    </w:r>
    <w:r w:rsidRPr="003128E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5BD8D" w14:textId="77777777" w:rsidR="00E1033B" w:rsidRPr="009220B1" w:rsidRDefault="00E1033B" w:rsidP="009220B1">
    <w:pPr>
      <w:pStyle w:val="Pidipagina"/>
      <w:ind w:right="-319"/>
      <w:jc w:val="right"/>
    </w:pPr>
    <w:r>
      <w:rPr>
        <w:sz w:val="20"/>
        <w:szCs w:val="20"/>
      </w:rPr>
      <w:t>© UNI</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fldChar w:fldCharType="begin"/>
    </w:r>
    <w:r>
      <w:instrText xml:space="preserve"> PAGE   \* MERGEFORMAT </w:instrText>
    </w:r>
    <w:r>
      <w:fldChar w:fldCharType="separate"/>
    </w:r>
    <w:r w:rsidR="003128ED">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4A64" w14:textId="1751E56E" w:rsidR="00E1033B" w:rsidRPr="0088608C" w:rsidRDefault="00CF2A34" w:rsidP="0088608C">
    <w:pPr>
      <w:pStyle w:val="Pidipagina"/>
      <w:jc w:val="right"/>
    </w:pPr>
    <w:r w:rsidRPr="00CF2A34">
      <w:rPr>
        <w:rFonts w:eastAsia="Times New Roman" w:cs="Times New Roman"/>
        <w:noProof/>
        <w:sz w:val="24"/>
        <w:szCs w:val="20"/>
        <w:lang w:eastAsia="it-IT"/>
      </w:rPr>
      <w:drawing>
        <wp:inline distT="0" distB="0" distL="0" distR="0" wp14:anchorId="3BDB60A9" wp14:editId="463FB36E">
          <wp:extent cx="1871345" cy="725170"/>
          <wp:effectExtent l="0" t="0" r="0" b="0"/>
          <wp:docPr id="1540892996" name="Immagine 1540892996" descr="Immagine che contiene Elementi grafici, cerchi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Elementi grafici, cerchio, Carattere,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725170"/>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7D18" w14:textId="77777777" w:rsidR="00E1033B" w:rsidRDefault="00E1033B" w:rsidP="00913C86">
    <w:pPr>
      <w:pStyle w:val="Pidipagina"/>
      <w:ind w:right="-319"/>
      <w:jc w:val="right"/>
    </w:pPr>
    <w:r>
      <w:rPr>
        <w:sz w:val="20"/>
        <w:szCs w:val="20"/>
      </w:rPr>
      <w:t>© UNI</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fldChar w:fldCharType="begin"/>
    </w:r>
    <w:r>
      <w:instrText xml:space="preserve"> PAGE   \* MERGEFORMAT </w:instrText>
    </w:r>
    <w:r>
      <w:fldChar w:fldCharType="separate"/>
    </w:r>
    <w:r w:rsidR="003128ED">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74FFB" w14:textId="77777777" w:rsidR="00634195" w:rsidRDefault="00634195">
      <w:pPr>
        <w:spacing w:line="240" w:lineRule="auto"/>
      </w:pPr>
      <w:r>
        <w:separator/>
      </w:r>
    </w:p>
  </w:footnote>
  <w:footnote w:type="continuationSeparator" w:id="0">
    <w:p w14:paraId="15D2F5A9" w14:textId="77777777" w:rsidR="00634195" w:rsidRDefault="00634195">
      <w:pPr>
        <w:spacing w:line="240" w:lineRule="auto"/>
      </w:pPr>
      <w:r>
        <w:continuationSeparator/>
      </w:r>
    </w:p>
  </w:footnote>
  <w:footnote w:type="continuationNotice" w:id="1">
    <w:p w14:paraId="49E1621F" w14:textId="77777777" w:rsidR="00634195" w:rsidRDefault="00634195">
      <w:pPr>
        <w:spacing w:line="240" w:lineRule="auto"/>
      </w:pPr>
    </w:p>
  </w:footnote>
  <w:footnote w:id="2">
    <w:p w14:paraId="6C1FF991" w14:textId="2C55E7FE" w:rsidR="0003128D" w:rsidRDefault="0003128D">
      <w:pPr>
        <w:pStyle w:val="Testonotaapidipagina"/>
      </w:pPr>
      <w:r>
        <w:rPr>
          <w:rStyle w:val="Rimandonotaapidipagina"/>
        </w:rPr>
        <w:footnoteRef/>
      </w:r>
      <w:r>
        <w:t xml:space="preserve"> I dati citati nella presente introduzione fanno riferimento ai documenti disponibili </w:t>
      </w:r>
      <w:r w:rsidR="00585CD3">
        <w:t>e alla legislazione vigente al momento della redazione della presente prassi di riferimento</w:t>
      </w:r>
      <w:r w:rsidR="004C62F2">
        <w:t>.</w:t>
      </w:r>
    </w:p>
  </w:footnote>
  <w:footnote w:id="3">
    <w:p w14:paraId="028C14AB" w14:textId="1558A8E0" w:rsidR="00E10D5D" w:rsidRPr="00AF6910" w:rsidRDefault="00E10D5D" w:rsidP="00A62548">
      <w:pPr>
        <w:rPr>
          <w:rFonts w:eastAsia="Times New Roman"/>
          <w:iCs/>
          <w:sz w:val="20"/>
          <w:szCs w:val="20"/>
          <w:lang w:eastAsia="it-IT"/>
        </w:rPr>
      </w:pPr>
      <w:r w:rsidRPr="00BB6114">
        <w:rPr>
          <w:rStyle w:val="Rimandonotaapidipagina"/>
          <w:sz w:val="20"/>
          <w:szCs w:val="20"/>
        </w:rPr>
        <w:footnoteRef/>
      </w:r>
      <w:r w:rsidR="001E271C">
        <w:rPr>
          <w:sz w:val="20"/>
          <w:szCs w:val="20"/>
        </w:rPr>
        <w:t>R</w:t>
      </w:r>
      <w:r w:rsidR="001E271C" w:rsidRPr="001E271C">
        <w:rPr>
          <w:sz w:val="20"/>
          <w:szCs w:val="20"/>
        </w:rPr>
        <w:t>apporto CNEL – ISTAT</w:t>
      </w:r>
      <w:r w:rsidR="001E271C">
        <w:rPr>
          <w:sz w:val="20"/>
          <w:szCs w:val="20"/>
        </w:rPr>
        <w:t xml:space="preserve"> del</w:t>
      </w:r>
      <w:r w:rsidR="001E271C" w:rsidRPr="001E271C">
        <w:rPr>
          <w:sz w:val="20"/>
          <w:szCs w:val="20"/>
        </w:rPr>
        <w:t xml:space="preserve"> </w:t>
      </w:r>
      <w:r w:rsidR="00BB6114" w:rsidRPr="00BB6114">
        <w:rPr>
          <w:rFonts w:eastAsia="Times New Roman"/>
          <w:iCs/>
          <w:sz w:val="20"/>
          <w:szCs w:val="20"/>
          <w:lang w:eastAsia="it-IT"/>
        </w:rPr>
        <w:t>marzo 2025:</w:t>
      </w:r>
      <w:r w:rsidRPr="00BB6114">
        <w:rPr>
          <w:sz w:val="20"/>
          <w:szCs w:val="20"/>
        </w:rPr>
        <w:t xml:space="preserve"> </w:t>
      </w:r>
      <w:hyperlink r:id="rId1" w:history="1">
        <w:r w:rsidRPr="00BB6114">
          <w:rPr>
            <w:rStyle w:val="Collegamentoipertestuale"/>
            <w:rFonts w:eastAsia="Times New Roman"/>
            <w:iCs/>
            <w:sz w:val="20"/>
            <w:szCs w:val="20"/>
            <w:lang w:eastAsia="it-IT"/>
          </w:rPr>
          <w:t>https://www.istat.it/wp-content/uploads/2025/03/istat-cnel.pdf</w:t>
        </w:r>
      </w:hyperlink>
      <w:r w:rsidR="00B457C6">
        <w:rPr>
          <w:sz w:val="20"/>
          <w:szCs w:val="20"/>
        </w:rPr>
        <w:t>.</w:t>
      </w:r>
      <w:r w:rsidR="002B30DF" w:rsidRPr="00BB6114">
        <w:rPr>
          <w:sz w:val="20"/>
          <w:szCs w:val="20"/>
        </w:rPr>
        <w:t xml:space="preserve"> </w:t>
      </w:r>
    </w:p>
  </w:footnote>
  <w:footnote w:id="4">
    <w:p w14:paraId="12DB85DB" w14:textId="6B896CE5" w:rsidR="00E10D5D" w:rsidRDefault="00E10D5D">
      <w:pPr>
        <w:pStyle w:val="Testonotaapidipagina"/>
      </w:pPr>
      <w:r w:rsidRPr="00BB6114">
        <w:rPr>
          <w:rStyle w:val="Rimandonotaapidipagina"/>
        </w:rPr>
        <w:footnoteRef/>
      </w:r>
      <w:r w:rsidR="00D13222">
        <w:t xml:space="preserve">Dati INPS elaborati da Manageritalia </w:t>
      </w:r>
      <w:r w:rsidR="00B457C6">
        <w:t>in</w:t>
      </w:r>
      <w:r w:rsidR="00A05AC1">
        <w:t xml:space="preserve"> marzo 202</w:t>
      </w:r>
      <w:r w:rsidR="00686053">
        <w:t>5 con riferimento ai dati del 2023</w:t>
      </w:r>
      <w:r w:rsidR="00B457C6">
        <w:t>:</w:t>
      </w:r>
      <w:r w:rsidR="00BB6114" w:rsidRPr="00BB6114">
        <w:t xml:space="preserve"> </w:t>
      </w:r>
      <w:hyperlink r:id="rId2" w:history="1">
        <w:r w:rsidR="00BB6114" w:rsidRPr="00BB6114">
          <w:rPr>
            <w:rStyle w:val="Collegamentoipertestuale"/>
          </w:rPr>
          <w:t>https://7ef66826.delivery.rocketcdn.me/wp-content/uploads/2025/03/Rapporto-Donne-Manageritalia-2025.pdf</w:t>
        </w:r>
      </w:hyperlink>
      <w:r w:rsidR="00B457C6">
        <w:t>.</w:t>
      </w:r>
      <w:r w:rsidRPr="00E10D5D">
        <w:t xml:space="preserve">  </w:t>
      </w:r>
    </w:p>
  </w:footnote>
  <w:footnote w:id="5">
    <w:p w14:paraId="2B0FD169" w14:textId="3E0099B3" w:rsidR="005A04C6" w:rsidRDefault="005A04C6">
      <w:pPr>
        <w:pStyle w:val="Testonotaapidipagina"/>
      </w:pPr>
      <w:r>
        <w:rPr>
          <w:rStyle w:val="Rimandonotaapidipagina"/>
        </w:rPr>
        <w:footnoteRef/>
      </w:r>
      <w:r>
        <w:t xml:space="preserve"> </w:t>
      </w:r>
      <w:r w:rsidRPr="00AF6910">
        <w:rPr>
          <w:iCs/>
        </w:rPr>
        <w:t>Rapporto istituzioni pubbliche ISTAT</w:t>
      </w:r>
      <w:r w:rsidR="005C718D" w:rsidRPr="00AF6910">
        <w:rPr>
          <w:iCs/>
        </w:rPr>
        <w:t xml:space="preserve"> del 2024:</w:t>
      </w:r>
      <w:r w:rsidRPr="00AF6910">
        <w:rPr>
          <w:iCs/>
        </w:rPr>
        <w:t xml:space="preserve"> </w:t>
      </w:r>
      <w:hyperlink r:id="rId3" w:history="1">
        <w:r w:rsidRPr="00AF6910">
          <w:rPr>
            <w:rStyle w:val="Collegamentoipertestuale"/>
            <w:iCs/>
          </w:rPr>
          <w:t>https://doi.org/10.1481/Istat.RapportoIstituzioniPubbliche.2024</w:t>
        </w:r>
      </w:hyperlink>
      <w:r w:rsidR="005C718D">
        <w:t>.</w:t>
      </w:r>
    </w:p>
  </w:footnote>
  <w:footnote w:id="6">
    <w:p w14:paraId="047C13AB" w14:textId="459E3D38" w:rsidR="0003128D" w:rsidRDefault="0003128D">
      <w:pPr>
        <w:pStyle w:val="Testonotaapidipagina"/>
      </w:pPr>
      <w:r>
        <w:rPr>
          <w:rStyle w:val="Rimandonotaapidipagina"/>
        </w:rPr>
        <w:footnoteRef/>
      </w:r>
      <w:r>
        <w:t xml:space="preserve"> </w:t>
      </w:r>
      <w:r w:rsidRPr="0003128D">
        <w:rPr>
          <w:iCs/>
        </w:rPr>
        <w:t>Rapporto istituzioni pubbliche ISTAT</w:t>
      </w:r>
      <w:r>
        <w:rPr>
          <w:iCs/>
        </w:rPr>
        <w:t xml:space="preserve"> del 2024:</w:t>
      </w:r>
      <w:r w:rsidRPr="0003128D">
        <w:rPr>
          <w:iCs/>
        </w:rPr>
        <w:t xml:space="preserve"> </w:t>
      </w:r>
      <w:hyperlink r:id="rId4" w:history="1">
        <w:r w:rsidRPr="0003128D">
          <w:rPr>
            <w:rStyle w:val="Collegamentoipertestuale"/>
            <w:iCs/>
          </w:rPr>
          <w:t>https://doi.org/10.1481/Istat.RapportoIstituzioniPubbliche.2024</w:t>
        </w:r>
      </w:hyperlink>
      <w:r w:rsidR="00701791">
        <w:t>.</w:t>
      </w:r>
    </w:p>
  </w:footnote>
  <w:footnote w:id="7">
    <w:p w14:paraId="1A293206" w14:textId="35CFFE57" w:rsidR="00701791" w:rsidRPr="00AF6910" w:rsidRDefault="00701791">
      <w:pPr>
        <w:pStyle w:val="Testonotaapidipagina"/>
        <w:rPr>
          <w:iCs/>
        </w:rPr>
      </w:pPr>
      <w:r>
        <w:rPr>
          <w:rStyle w:val="Rimandonotaapidipagina"/>
        </w:rPr>
        <w:footnoteRef/>
      </w:r>
      <w:r w:rsidRPr="00151064">
        <w:t xml:space="preserve"> </w:t>
      </w:r>
      <w:r w:rsidR="00151064" w:rsidRPr="00151064">
        <w:t>Link alla fo</w:t>
      </w:r>
      <w:r w:rsidR="00151064">
        <w:t>nte</w:t>
      </w:r>
      <w:r w:rsidR="00151064" w:rsidRPr="00151064">
        <w:t>:</w:t>
      </w:r>
      <w:r w:rsidRPr="00151064">
        <w:t xml:space="preserve"> </w:t>
      </w:r>
      <w:hyperlink r:id="rId5" w:history="1">
        <w:r w:rsidR="00151064" w:rsidRPr="00AF6910">
          <w:rPr>
            <w:rStyle w:val="Collegamentoipertestuale"/>
            <w:iCs/>
          </w:rPr>
          <w:t>https://contoannuale.rgs.mef.gov.it/</w:t>
        </w:r>
      </w:hyperlink>
      <w:r w:rsidR="00151064" w:rsidRPr="00AF6910">
        <w:rPr>
          <w:iCs/>
        </w:rPr>
        <w:t xml:space="preserve"> </w:t>
      </w:r>
    </w:p>
  </w:footnote>
  <w:footnote w:id="8">
    <w:p w14:paraId="7EEDA70D" w14:textId="221061E2" w:rsidR="00187EC4" w:rsidRDefault="00187EC4">
      <w:pPr>
        <w:pStyle w:val="Testonotaapidipagina"/>
      </w:pPr>
      <w:r>
        <w:rPr>
          <w:rStyle w:val="Rimandonotaapidipagina"/>
        </w:rPr>
        <w:footnoteRef/>
      </w:r>
      <w:r>
        <w:t xml:space="preserve"> </w:t>
      </w:r>
      <w:r w:rsidR="00501FB7">
        <w:t xml:space="preserve">Fonte: </w:t>
      </w:r>
      <w:r w:rsidRPr="00187EC4">
        <w:t>Legislazione e politiche di genere, Documentazione e Ricerche, Camera dei Deputati, marzo 2024</w:t>
      </w:r>
      <w:r w:rsidR="00501FB7">
        <w:t>.</w:t>
      </w:r>
    </w:p>
  </w:footnote>
  <w:footnote w:id="9">
    <w:p w14:paraId="246DD10A" w14:textId="13404780" w:rsidR="00A62548" w:rsidRDefault="00A62548">
      <w:pPr>
        <w:pStyle w:val="Testonotaapidipagina"/>
      </w:pPr>
      <w:r>
        <w:rPr>
          <w:rStyle w:val="Rimandonotaapidipagina"/>
        </w:rPr>
        <w:footnoteRef/>
      </w:r>
      <w:r>
        <w:t xml:space="preserve"> Link alle fonti: </w:t>
      </w:r>
      <w:hyperlink r:id="rId6" w:history="1">
        <w:r w:rsidRPr="00B15523">
          <w:rPr>
            <w:rStyle w:val="Collegamentoipertestuale"/>
          </w:rPr>
          <w:t>https://www.unioncamere.gov.it/comunicazione/comunicati-stampa/imprese-femminili-sono-1-milione-e-325mila-nel-2023-il-222-del-totale</w:t>
        </w:r>
      </w:hyperlink>
      <w:r>
        <w:t xml:space="preserve"> e</w:t>
      </w:r>
      <w:r w:rsidRPr="00A62548">
        <w:t> </w:t>
      </w:r>
      <w:hyperlink r:id="rId7" w:tooltip="https://sni.unioncamere.it/notizie/imprenditoria-femminile-i-dati-del-2023" w:history="1">
        <w:r w:rsidRPr="00A62548">
          <w:rPr>
            <w:rStyle w:val="Collegamentoipertestuale"/>
          </w:rPr>
          <w:t>https://sni.unioncamere.it/notizie/imprenditoria-femminile-i-dati-del-2023</w:t>
        </w:r>
      </w:hyperlink>
      <w:r>
        <w:t>.</w:t>
      </w:r>
    </w:p>
  </w:footnote>
  <w:footnote w:id="10">
    <w:p w14:paraId="1BEC2D83" w14:textId="564D1541" w:rsidR="00501FB7" w:rsidRPr="00501FB7" w:rsidRDefault="00501FB7">
      <w:pPr>
        <w:pStyle w:val="Testonotaapidipagina"/>
        <w:rPr>
          <w:iCs/>
        </w:rPr>
      </w:pPr>
      <w:r>
        <w:rPr>
          <w:rStyle w:val="Rimandonotaapidipagina"/>
        </w:rPr>
        <w:footnoteRef/>
      </w:r>
      <w:r>
        <w:t xml:space="preserve"> Link alla fonte: </w:t>
      </w:r>
      <w:hyperlink r:id="rId8" w:history="1">
        <w:r w:rsidRPr="00501FB7">
          <w:rPr>
            <w:rStyle w:val="Collegamentoipertestuale"/>
            <w:iCs/>
          </w:rPr>
          <w:t>WEF_GGGR_2023.pdf</w:t>
        </w:r>
      </w:hyperlink>
      <w:r w:rsidR="00A62548">
        <w:t>.</w:t>
      </w:r>
    </w:p>
  </w:footnote>
  <w:footnote w:id="11">
    <w:p w14:paraId="09210536" w14:textId="776A27CC" w:rsidR="00726CFC" w:rsidRDefault="00726CFC">
      <w:pPr>
        <w:pStyle w:val="Testonotaapidipagina"/>
      </w:pPr>
      <w:r>
        <w:rPr>
          <w:rStyle w:val="Rimandonotaapidipagina"/>
        </w:rPr>
        <w:footnoteRef/>
      </w:r>
      <w:r>
        <w:t xml:space="preserve"> R</w:t>
      </w:r>
      <w:r w:rsidRPr="00726CFC">
        <w:t>iforma PNRR 1.13 - M1C1-110</w:t>
      </w:r>
      <w:r>
        <w:t>.</w:t>
      </w:r>
    </w:p>
  </w:footnote>
  <w:footnote w:id="12">
    <w:p w14:paraId="53AA186D" w14:textId="73F18126" w:rsidR="00726CFC" w:rsidRDefault="00726CFC">
      <w:pPr>
        <w:pStyle w:val="Testonotaapidipagina"/>
      </w:pPr>
      <w:r>
        <w:rPr>
          <w:rStyle w:val="Rimandonotaapidipagina"/>
        </w:rPr>
        <w:footnoteRef/>
      </w:r>
      <w:r>
        <w:t xml:space="preserve"> A</w:t>
      </w:r>
      <w:r w:rsidRPr="00726CFC">
        <w:t xml:space="preserve">rticolo 51-bis del decreto-legge 24 febbraio 2023, n. 13 </w:t>
      </w:r>
      <w:r>
        <w:t xml:space="preserve">- </w:t>
      </w:r>
      <w:r w:rsidRPr="00726CFC">
        <w:t>Disposizioni in materia di bilancio di genere e ambientale, cosiddetto decreto-legge PNRR-ter</w:t>
      </w:r>
      <w:r w:rsidR="00261565">
        <w:t>.</w:t>
      </w:r>
    </w:p>
  </w:footnote>
  <w:footnote w:id="13">
    <w:p w14:paraId="65E35861" w14:textId="46BDA760" w:rsidR="002E366A" w:rsidRPr="002E366A" w:rsidRDefault="002E366A">
      <w:pPr>
        <w:pStyle w:val="Testonotaapidipagina"/>
      </w:pPr>
      <w:r>
        <w:rPr>
          <w:rStyle w:val="Rimandonotaapidipagina"/>
        </w:rPr>
        <w:footnoteRef/>
      </w:r>
      <w:r>
        <w:t xml:space="preserve"> </w:t>
      </w:r>
      <w:r w:rsidRPr="00AF6910">
        <w:rPr>
          <w:iCs/>
        </w:rPr>
        <w:t>MEF</w:t>
      </w:r>
      <w:r w:rsidR="00453339" w:rsidRPr="00AF6910">
        <w:rPr>
          <w:iCs/>
        </w:rPr>
        <w:t>,</w:t>
      </w:r>
      <w:r w:rsidRPr="00AF6910">
        <w:rPr>
          <w:iCs/>
        </w:rPr>
        <w:t xml:space="preserve"> Dipartimento Ragioneria generale dello Stato, Le spese di bilancio dello Stato secondo le prospettive di genere e gli obiettivi di sviluppo sostenibile, novembre 2024.</w:t>
      </w:r>
    </w:p>
  </w:footnote>
  <w:footnote w:id="14">
    <w:p w14:paraId="57DCB614" w14:textId="33B0DE05" w:rsidR="00453339" w:rsidRDefault="00453339">
      <w:pPr>
        <w:pStyle w:val="Testonotaapidipagina"/>
      </w:pPr>
      <w:r>
        <w:rPr>
          <w:rStyle w:val="Rimandonotaapidipagina"/>
        </w:rPr>
        <w:footnoteRef/>
      </w:r>
      <w:r>
        <w:t xml:space="preserve"> </w:t>
      </w:r>
      <w:r w:rsidRPr="00AF6910">
        <w:rPr>
          <w:iCs/>
        </w:rPr>
        <w:t xml:space="preserve">Dossier “Il bilancio di genere </w:t>
      </w:r>
      <w:r w:rsidR="00FE29B6">
        <w:rPr>
          <w:iCs/>
        </w:rPr>
        <w:t xml:space="preserve">per l’esercizio finanziario 2023” </w:t>
      </w:r>
      <w:r w:rsidRPr="00AF6910">
        <w:rPr>
          <w:iCs/>
        </w:rPr>
        <w:t>.</w:t>
      </w:r>
    </w:p>
  </w:footnote>
  <w:footnote w:id="15">
    <w:p w14:paraId="29BAAA5D" w14:textId="229CE0AD" w:rsidR="00517A06" w:rsidRDefault="00517A06">
      <w:pPr>
        <w:pStyle w:val="Testonotaapidipagina"/>
      </w:pPr>
      <w:r>
        <w:rPr>
          <w:rStyle w:val="Rimandonotaapidipagina"/>
        </w:rPr>
        <w:footnoteRef/>
      </w:r>
      <w:r>
        <w:t xml:space="preserve"> </w:t>
      </w:r>
      <w:r w:rsidRPr="00517A06">
        <w:t>Le spese del Bilancio dello Stato secondo la prospettiva di genere e gli obiettivi di sviluppo sostenibile, M</w:t>
      </w:r>
      <w:r>
        <w:t>EF</w:t>
      </w:r>
      <w:r w:rsidRPr="00517A06">
        <w:t xml:space="preserve">, Ragioneria Generale dello Stato, </w:t>
      </w:r>
      <w:r>
        <w:t>novembre</w:t>
      </w:r>
      <w:r w:rsidRPr="00517A06">
        <w:t xml:space="preserve"> 2024</w:t>
      </w:r>
      <w:r>
        <w:t>.</w:t>
      </w:r>
    </w:p>
  </w:footnote>
  <w:footnote w:id="16">
    <w:p w14:paraId="206FE114" w14:textId="5E47A802" w:rsidR="00C9123B" w:rsidRDefault="00C9123B">
      <w:pPr>
        <w:pStyle w:val="Testonotaapidipagina"/>
      </w:pPr>
      <w:r>
        <w:rPr>
          <w:rStyle w:val="Rimandonotaapidipagina"/>
        </w:rPr>
        <w:footnoteRef/>
      </w:r>
      <w:r>
        <w:t xml:space="preserve"> </w:t>
      </w:r>
      <w:r w:rsidRPr="00AF6910">
        <w:rPr>
          <w:iCs/>
        </w:rPr>
        <w:t>Art. 47, comma 4 del D.L. n.77/2021.</w:t>
      </w:r>
    </w:p>
  </w:footnote>
  <w:footnote w:id="17">
    <w:p w14:paraId="75CE0819" w14:textId="2231A44C" w:rsidR="00BC5ABC" w:rsidRDefault="00BC5ABC">
      <w:pPr>
        <w:pStyle w:val="Testonotaapidipagina"/>
      </w:pPr>
      <w:r>
        <w:rPr>
          <w:rStyle w:val="Rimandonotaapidipagina"/>
        </w:rPr>
        <w:footnoteRef/>
      </w:r>
      <w:r>
        <w:t xml:space="preserve"> Link alla fonte: </w:t>
      </w:r>
      <w:hyperlink r:id="rId9" w:history="1">
        <w:r w:rsidRPr="00BC5ABC">
          <w:rPr>
            <w:rStyle w:val="Collegamentoipertestuale"/>
            <w:iCs/>
          </w:rPr>
          <w:t>https://www.pariopportunita.gov.it/media/2050/la_strategia_in_sintesi.pdf</w:t>
        </w:r>
      </w:hyperlink>
      <w:r>
        <w:t>.</w:t>
      </w:r>
    </w:p>
  </w:footnote>
  <w:footnote w:id="18">
    <w:p w14:paraId="263DC34C" w14:textId="1D9C4D4A" w:rsidR="00501577" w:rsidRDefault="00501577">
      <w:pPr>
        <w:pStyle w:val="Testonotaapidipagina"/>
      </w:pPr>
      <w:r>
        <w:rPr>
          <w:rStyle w:val="Rimandonotaapidipagina"/>
        </w:rPr>
        <w:footnoteRef/>
      </w:r>
      <w:r>
        <w:t xml:space="preserve"> </w:t>
      </w:r>
      <w:r w:rsidRPr="00AF6910">
        <w:rPr>
          <w:iCs/>
        </w:rPr>
        <w:t xml:space="preserve">In correlazione al PNRR, tra i dispositivi legislativi </w:t>
      </w:r>
      <w:r w:rsidR="00916919" w:rsidRPr="00AF6910">
        <w:rPr>
          <w:iCs/>
        </w:rPr>
        <w:t>vigenti si annovera</w:t>
      </w:r>
      <w:r w:rsidRPr="00AF6910">
        <w:rPr>
          <w:iCs/>
        </w:rPr>
        <w:t xml:space="preserve"> la Legge del 5 novembre 2021 n. 162 incentra</w:t>
      </w:r>
      <w:r w:rsidR="00916919" w:rsidRPr="00AF6910">
        <w:rPr>
          <w:iCs/>
        </w:rPr>
        <w:t xml:space="preserve">ta </w:t>
      </w:r>
      <w:r w:rsidRPr="00AF6910">
        <w:rPr>
          <w:iCs/>
        </w:rPr>
        <w:t>sulla riduzione del divario salariale tra i generi</w:t>
      </w:r>
      <w:r w:rsidR="00916919" w:rsidRPr="00AF6910">
        <w:rPr>
          <w:iCs/>
        </w:rPr>
        <w:t>.</w:t>
      </w:r>
    </w:p>
  </w:footnote>
  <w:footnote w:id="19">
    <w:p w14:paraId="13C25168" w14:textId="22EA26AA" w:rsidR="00916919" w:rsidRDefault="00916919">
      <w:pPr>
        <w:pStyle w:val="Testonotaapidipagina"/>
      </w:pPr>
      <w:r>
        <w:rPr>
          <w:rStyle w:val="Rimandonotaapidipagina"/>
        </w:rPr>
        <w:footnoteRef/>
      </w:r>
      <w:r>
        <w:t xml:space="preserve"> </w:t>
      </w:r>
      <w:r w:rsidRPr="00916919">
        <w:t>Strategia nazionale per la parità di genere 2021</w:t>
      </w:r>
      <w:r>
        <w:t>-</w:t>
      </w:r>
      <w:r w:rsidRPr="00916919">
        <w:t>2026</w:t>
      </w:r>
      <w:r>
        <w:t>.</w:t>
      </w:r>
    </w:p>
  </w:footnote>
  <w:footnote w:id="20">
    <w:p w14:paraId="1A597C97" w14:textId="11A6BF74" w:rsidR="00A7453A" w:rsidRDefault="00A7453A">
      <w:pPr>
        <w:pStyle w:val="Testonotaapidipagina"/>
      </w:pPr>
      <w:r>
        <w:rPr>
          <w:rStyle w:val="Rimandonotaapidipagina"/>
        </w:rPr>
        <w:footnoteRef/>
      </w:r>
      <w:r>
        <w:t xml:space="preserve"> </w:t>
      </w:r>
      <w:r w:rsidRPr="00A7453A">
        <w:t>Direttiva n.2 del 26 giugno 2019 del Dipartimento per le Pari Opportunità</w:t>
      </w:r>
      <w:r>
        <w:t>.</w:t>
      </w:r>
    </w:p>
  </w:footnote>
  <w:footnote w:id="21">
    <w:p w14:paraId="773A991C" w14:textId="3FA094E0" w:rsidR="00C91E99" w:rsidRDefault="00C91E99">
      <w:pPr>
        <w:pStyle w:val="Testonotaapidipagina"/>
      </w:pPr>
      <w:r>
        <w:rPr>
          <w:rStyle w:val="Rimandonotaapidipagina"/>
        </w:rPr>
        <w:footnoteRef/>
      </w:r>
      <w:r>
        <w:t xml:space="preserve"> In riferimento alla legislazione europea vigente: </w:t>
      </w:r>
      <w:r w:rsidRPr="00C91E99">
        <w:t>Dir. EU 2023/970</w:t>
      </w:r>
      <w:r>
        <w:t>.</w:t>
      </w:r>
    </w:p>
  </w:footnote>
  <w:footnote w:id="22">
    <w:p w14:paraId="617D1467" w14:textId="6852DF50" w:rsidR="00D576C0" w:rsidRDefault="00D576C0">
      <w:pPr>
        <w:pStyle w:val="Testonotaapidipagina"/>
      </w:pPr>
      <w:r>
        <w:rPr>
          <w:rStyle w:val="Rimandonotaapidipagina"/>
        </w:rPr>
        <w:footnoteRef/>
      </w:r>
      <w:r>
        <w:t xml:space="preserve"> A</w:t>
      </w:r>
      <w:r w:rsidRPr="00D576C0">
        <w:t>rt. 108, comma 7 del Decreto Legislativo n. 36/2023 (codice appalti)</w:t>
      </w:r>
      <w:r>
        <w:t>.</w:t>
      </w:r>
    </w:p>
  </w:footnote>
  <w:footnote w:id="23">
    <w:p w14:paraId="75889BC0" w14:textId="77777777" w:rsidR="00AF6910" w:rsidRPr="00D84CA7" w:rsidRDefault="00AF6910" w:rsidP="00AF6910">
      <w:pPr>
        <w:pStyle w:val="Testonotaapidipagina"/>
      </w:pPr>
      <w:r w:rsidRPr="00D84CA7">
        <w:rPr>
          <w:rStyle w:val="Rimandonotaapidipagina"/>
        </w:rPr>
        <w:footnoteRef/>
      </w:r>
      <w:r w:rsidRPr="00D84CA7">
        <w:rPr>
          <w:iCs/>
          <w:lang w:val="es-ES"/>
        </w:rPr>
        <w:t>Link alla sezione dedicata del MEF:</w:t>
      </w:r>
      <w:r>
        <w:rPr>
          <w:iCs/>
          <w:lang w:val="es-ES"/>
        </w:rPr>
        <w:t xml:space="preserve"> </w:t>
      </w:r>
      <w:hyperlink r:id="rId10" w:history="1">
        <w:r w:rsidRPr="000C7D0A">
          <w:rPr>
            <w:rStyle w:val="Collegamentoipertestuale"/>
            <w:iCs/>
            <w:lang w:val="es-ES"/>
          </w:rPr>
          <w:t>https://www.rgs.mef.gov.it/VERSIONE-I/attivita_istituzionali/formazione_e_gestione_del_bilancio/rendiconto/bilancio_di_genere/</w:t>
        </w:r>
      </w:hyperlink>
      <w:r>
        <w:rPr>
          <w:iCs/>
          <w:lang w:val="es-ES"/>
        </w:rPr>
        <w:t>.</w:t>
      </w:r>
    </w:p>
  </w:footnote>
  <w:footnote w:id="24">
    <w:p w14:paraId="6CE3007A" w14:textId="7721F0B0" w:rsidR="00A62548" w:rsidRDefault="00A62548">
      <w:pPr>
        <w:pStyle w:val="Testonotaapidipagina"/>
      </w:pPr>
      <w:r>
        <w:rPr>
          <w:rStyle w:val="Rimandonotaapidipagina"/>
        </w:rPr>
        <w:footnoteRef/>
      </w:r>
      <w:r>
        <w:t xml:space="preserve"> </w:t>
      </w:r>
      <w:r>
        <w:rPr>
          <w:iCs/>
        </w:rPr>
        <w:t>D</w:t>
      </w:r>
      <w:r w:rsidRPr="00A62548">
        <w:rPr>
          <w:iCs/>
          <w:lang w:val="es-ES"/>
        </w:rPr>
        <w:t xml:space="preserve">efinizione ufficiale di gender mainstreaming </w:t>
      </w:r>
      <w:r>
        <w:rPr>
          <w:iCs/>
          <w:lang w:val="es-ES"/>
        </w:rPr>
        <w:t>del</w:t>
      </w:r>
      <w:r w:rsidRPr="00A62548">
        <w:rPr>
          <w:iCs/>
          <w:lang w:val="es-ES"/>
        </w:rPr>
        <w:t xml:space="preserve"> Consiglio economico e sociale delle Nazioni Unite (ECOSOC</w:t>
      </w:r>
      <w:r>
        <w:rPr>
          <w:iCs/>
          <w:lang w:val="es-ES"/>
        </w:rPr>
        <w:t>).</w:t>
      </w:r>
      <w:r w:rsidR="00C54D0E">
        <w:rPr>
          <w:iCs/>
          <w:lang w:val="es-ES"/>
        </w:rPr>
        <w:t xml:space="preserve"> Per approfondire </w:t>
      </w:r>
      <w:hyperlink r:id="rId11" w:tooltip="https://gendercoordinationandmainstreaming.unwomen.org/gender-mainstreaming-global" w:history="1">
        <w:r w:rsidR="00C54D0E" w:rsidRPr="00C54D0E">
          <w:rPr>
            <w:rStyle w:val="Collegamentoipertestuale"/>
            <w:iCs/>
          </w:rPr>
          <w:t>https://gendercoordinationandmainstreaming.unwomen.org/gender-mainstreaming-global</w:t>
        </w:r>
      </w:hyperlink>
      <w:r w:rsidR="00C54D0E">
        <w:rPr>
          <w:iCs/>
          <w:lang w:val="es-ES"/>
        </w:rPr>
        <w:t xml:space="preserve"> e </w:t>
      </w:r>
      <w:hyperlink r:id="rId12" w:tooltip="https://ec.europa.eu/employment_social/equal_consolidated/data/document/gendermain_it.pdf" w:history="1">
        <w:r w:rsidR="001647FE" w:rsidRPr="001647FE">
          <w:rPr>
            <w:rStyle w:val="Collegamentoipertestuale"/>
            <w:iCs/>
          </w:rPr>
          <w:t>https://ec.europa.eu/employment_social/equal_consolidated/data/document/gendermain_it.pdf</w:t>
        </w:r>
      </w:hyperlink>
      <w:r w:rsidR="001647FE">
        <w:rPr>
          <w:iCs/>
          <w:lang w:val="es-ES"/>
        </w:rPr>
        <w:t>.</w:t>
      </w:r>
    </w:p>
  </w:footnote>
  <w:footnote w:id="25">
    <w:p w14:paraId="51A0E950" w14:textId="46C5B49B" w:rsidR="005F214A" w:rsidRDefault="005F214A">
      <w:pPr>
        <w:pStyle w:val="Testonotaapidipagina"/>
      </w:pPr>
      <w:r>
        <w:rPr>
          <w:rStyle w:val="Rimandonotaapidipagina"/>
        </w:rPr>
        <w:footnoteRef/>
      </w:r>
      <w:r>
        <w:t xml:space="preserve"> </w:t>
      </w:r>
      <w:r w:rsidR="001A0B30">
        <w:t xml:space="preserve">Ministero per l’Economia e le Finanze </w:t>
      </w:r>
      <w:r w:rsidR="00EE74F0">
        <w:t xml:space="preserve">– </w:t>
      </w:r>
      <w:r w:rsidR="00EE74F0" w:rsidRPr="00EE74F0">
        <w:rPr>
          <w:i/>
          <w:iCs/>
        </w:rPr>
        <w:t xml:space="preserve">Il </w:t>
      </w:r>
      <w:r w:rsidR="001A0B30" w:rsidRPr="00EE74F0">
        <w:rPr>
          <w:i/>
          <w:iCs/>
        </w:rPr>
        <w:t>B</w:t>
      </w:r>
      <w:r w:rsidR="00EF7FE7" w:rsidRPr="00EE74F0">
        <w:rPr>
          <w:i/>
          <w:iCs/>
        </w:rPr>
        <w:t xml:space="preserve">ilancio di genere 2024 </w:t>
      </w:r>
      <w:r w:rsidR="001C0C20" w:rsidRPr="00EE74F0">
        <w:rPr>
          <w:i/>
          <w:iCs/>
        </w:rPr>
        <w:t>per l’esercizio finanziario 2023</w:t>
      </w:r>
      <w:r w:rsidR="00EE74F0">
        <w:t xml:space="preserve"> </w:t>
      </w:r>
      <w:r w:rsidR="00EE74F0" w:rsidRPr="00EE74F0">
        <w:rPr>
          <w:i/>
          <w:iCs/>
        </w:rPr>
        <w:t>(</w:t>
      </w:r>
      <w:r w:rsidR="00EF7FE7" w:rsidRPr="00EE74F0">
        <w:rPr>
          <w:i/>
          <w:iCs/>
        </w:rPr>
        <w:t xml:space="preserve">Capitolo 5. Le spese </w:t>
      </w:r>
      <w:r w:rsidR="00474749" w:rsidRPr="00EE74F0">
        <w:rPr>
          <w:i/>
          <w:iCs/>
        </w:rPr>
        <w:t>del bilancio dello stato 2023 in una prospettiva di genere</w:t>
      </w:r>
      <w:r w:rsidR="00EE74F0" w:rsidRPr="00EE74F0">
        <w:rPr>
          <w:i/>
          <w:iCs/>
        </w:rPr>
        <w:t>)</w:t>
      </w:r>
      <w:r w:rsidR="00474749">
        <w:t>.</w:t>
      </w:r>
    </w:p>
  </w:footnote>
  <w:footnote w:id="26">
    <w:p w14:paraId="1A48D6B8" w14:textId="23B31E74" w:rsidR="00E80E5D" w:rsidRDefault="00E80E5D">
      <w:pPr>
        <w:pStyle w:val="Testonotaapidipagina"/>
      </w:pPr>
      <w:r>
        <w:rPr>
          <w:rStyle w:val="Rimandonotaapidipagina"/>
        </w:rPr>
        <w:footnoteRef/>
      </w:r>
      <w:r>
        <w:t xml:space="preserve"> F</w:t>
      </w:r>
      <w:r w:rsidRPr="00A80809">
        <w:t>onte Istat</w:t>
      </w:r>
      <w:r w:rsidR="001221B8">
        <w:t xml:space="preserve">, </w:t>
      </w:r>
      <w:r w:rsidR="00E400DE" w:rsidRPr="00E80E5D">
        <w:t>30/06/2024</w:t>
      </w:r>
      <w:r w:rsidR="001221B8">
        <w:t>.</w:t>
      </w:r>
    </w:p>
  </w:footnote>
  <w:footnote w:id="27">
    <w:p w14:paraId="48FE4F3E" w14:textId="29A40416" w:rsidR="00E80E5D" w:rsidRDefault="00E80E5D">
      <w:pPr>
        <w:pStyle w:val="Testonotaapidipagina"/>
      </w:pPr>
      <w:r>
        <w:rPr>
          <w:rStyle w:val="Rimandonotaapidipagina"/>
        </w:rPr>
        <w:footnoteRef/>
      </w:r>
      <w:r>
        <w:t xml:space="preserve"> Fo</w:t>
      </w:r>
      <w:r w:rsidRPr="00E80E5D">
        <w:t>nte Istat, 30/06/2024</w:t>
      </w:r>
      <w:r w:rsidR="001221B8">
        <w:t>.</w:t>
      </w:r>
    </w:p>
  </w:footnote>
  <w:footnote w:id="28">
    <w:p w14:paraId="3247EABB" w14:textId="1A3480D4" w:rsidR="002F11F5" w:rsidRDefault="002F11F5" w:rsidP="002F11F5">
      <w:pPr>
        <w:pStyle w:val="Testonotaapidipagina"/>
      </w:pPr>
      <w:r>
        <w:rPr>
          <w:rStyle w:val="Rimandonotaapidipagina"/>
        </w:rPr>
        <w:footnoteRef/>
      </w:r>
      <w:r>
        <w:t xml:space="preserve"> </w:t>
      </w:r>
      <w:r w:rsidRPr="005D322E">
        <w:rPr>
          <w:sz w:val="18"/>
          <w:szCs w:val="18"/>
        </w:rPr>
        <w:t xml:space="preserve">“Il mainstreaming di genere </w:t>
      </w:r>
      <w:r w:rsidRPr="000621BA">
        <w:rPr>
          <w:sz w:val="18"/>
          <w:szCs w:val="18"/>
        </w:rPr>
        <w:t>[</w:t>
      </w:r>
      <w:r w:rsidRPr="000621BA">
        <w:rPr>
          <w:b/>
          <w:bCs/>
          <w:sz w:val="18"/>
          <w:szCs w:val="18"/>
        </w:rPr>
        <w:t>gender mainstreaming</w:t>
      </w:r>
      <w:r w:rsidRPr="000621BA">
        <w:rPr>
          <w:sz w:val="18"/>
          <w:szCs w:val="18"/>
        </w:rPr>
        <w:t>]</w:t>
      </w:r>
      <w:r w:rsidRPr="005D322E">
        <w:rPr>
          <w:sz w:val="18"/>
          <w:szCs w:val="18"/>
        </w:rPr>
        <w:t xml:space="preserve"> è un </w:t>
      </w:r>
      <w:r w:rsidR="00A62548">
        <w:rPr>
          <w:sz w:val="18"/>
          <w:szCs w:val="18"/>
        </w:rPr>
        <w:t>a</w:t>
      </w:r>
      <w:r w:rsidR="00A62548" w:rsidRPr="00A62548">
        <w:rPr>
          <w:sz w:val="18"/>
          <w:szCs w:val="18"/>
        </w:rPr>
        <w:t>pproccio strategico alle politiche pubbliche e private che si pone l’obiettivo del raggiungimento dell’uguaglianza di opportunità tra donne e uomini in ogni ambito della società e che prevede l’integrazione di una prospettiva di genere in tutte le fasi realizzative delle politiche: dal processo di elaborazione, all’attuazione, includendo anche la stesura delle norme, le decisioni di spesa, la valutazione e il monitoraggio.</w:t>
      </w:r>
      <w:r w:rsidR="00A62548">
        <w:rPr>
          <w:sz w:val="18"/>
          <w:szCs w:val="18"/>
        </w:rPr>
        <w:t xml:space="preserve"> </w:t>
      </w:r>
      <w:r w:rsidR="00827A44">
        <w:rPr>
          <w:sz w:val="18"/>
          <w:szCs w:val="18"/>
        </w:rPr>
        <w:t xml:space="preserve">Si veda </w:t>
      </w:r>
      <w:r w:rsidR="00827A44" w:rsidRPr="00827A44">
        <w:rPr>
          <w:i/>
          <w:iCs/>
          <w:sz w:val="18"/>
          <w:szCs w:val="18"/>
        </w:rPr>
        <w:t>s</w:t>
      </w:r>
      <w:r w:rsidR="0009750F" w:rsidRPr="0009750F">
        <w:rPr>
          <w:i/>
          <w:iCs/>
          <w:sz w:val="18"/>
          <w:szCs w:val="18"/>
        </w:rPr>
        <w:t>upra</w:t>
      </w:r>
      <w:r w:rsidR="0009750F">
        <w:rPr>
          <w:sz w:val="18"/>
          <w:szCs w:val="18"/>
        </w:rPr>
        <w:t xml:space="preserve"> § 3 “Termini e </w:t>
      </w:r>
      <w:r w:rsidR="00833003">
        <w:rPr>
          <w:sz w:val="18"/>
          <w:szCs w:val="18"/>
        </w:rPr>
        <w:t>Definizioni</w:t>
      </w:r>
      <w:r w:rsidR="0009750F">
        <w:rPr>
          <w:sz w:val="18"/>
          <w:szCs w:val="18"/>
        </w:rPr>
        <w:t>”.</w:t>
      </w:r>
    </w:p>
  </w:footnote>
  <w:footnote w:id="29">
    <w:p w14:paraId="7E8FA20C" w14:textId="1D02F437" w:rsidR="00A25A16" w:rsidRDefault="00A25A16" w:rsidP="00FF20A0">
      <w:pPr>
        <w:pStyle w:val="Testonotaapidipagina"/>
      </w:pPr>
      <w:r>
        <w:rPr>
          <w:rStyle w:val="Rimandonotaapidipagina"/>
        </w:rPr>
        <w:footnoteRef/>
      </w:r>
      <w:r>
        <w:t xml:space="preserve"> </w:t>
      </w:r>
      <w:r w:rsidR="00FF20A0">
        <w:t xml:space="preserve">Circolare RGS del 16 maggio 2024, n. 26 del Ministero per l’Economia e le Finanze - </w:t>
      </w:r>
      <w:r w:rsidR="00FF20A0" w:rsidRPr="00FF20A0">
        <w:rPr>
          <w:i/>
          <w:iCs/>
        </w:rPr>
        <w:t>Bilancio di genere. Linee guida e avvio delle attività relative al Rendiconto generale dello Stato 2023</w:t>
      </w:r>
      <w:r w:rsidR="00FF20A0">
        <w:t>.</w:t>
      </w:r>
    </w:p>
  </w:footnote>
  <w:footnote w:id="30">
    <w:p w14:paraId="65FE41AF" w14:textId="7EDDB41B" w:rsidR="00995AB0" w:rsidRDefault="00995AB0">
      <w:pPr>
        <w:pStyle w:val="Testonotaapidipagina"/>
      </w:pPr>
      <w:r>
        <w:rPr>
          <w:rStyle w:val="Rimandonotaapidipagina"/>
        </w:rPr>
        <w:footnoteRef/>
      </w:r>
      <w:r>
        <w:t xml:space="preserve"> </w:t>
      </w:r>
      <w:r w:rsidR="00F45621">
        <w:t>Amministrazioni pubblic</w:t>
      </w:r>
      <w:r w:rsidR="00CE1F37">
        <w:t>he,</w:t>
      </w:r>
      <w:r w:rsidR="00F45621">
        <w:t xml:space="preserve"> come da elenco pubblicato annualmente dall’ISTAT</w:t>
      </w:r>
      <w:r w:rsidR="00CE1F37">
        <w:t>,</w:t>
      </w:r>
      <w:r w:rsidR="00F45621">
        <w:t xml:space="preserve"> in applicazione dell’art.1, comm</w:t>
      </w:r>
      <w:r w:rsidR="00FD7438">
        <w:t xml:space="preserve">a </w:t>
      </w:r>
      <w:r w:rsidR="00F45621">
        <w:t>2</w:t>
      </w:r>
      <w:r w:rsidR="00CE1F37">
        <w:t>,</w:t>
      </w:r>
      <w:r w:rsidR="00F45621">
        <w:t xml:space="preserve"> </w:t>
      </w:r>
      <w:r w:rsidR="00FD7438">
        <w:t>della Legge 31 dicembre 2009/196</w:t>
      </w:r>
      <w:r w:rsidR="00264F75">
        <w:t>.</w:t>
      </w:r>
    </w:p>
  </w:footnote>
  <w:footnote w:id="31">
    <w:p w14:paraId="7161BB96" w14:textId="797F26D3" w:rsidR="099806E9" w:rsidRDefault="099806E9" w:rsidP="099806E9">
      <w:pPr>
        <w:pStyle w:val="Testonotaapidipagina"/>
      </w:pPr>
      <w:r w:rsidRPr="099806E9">
        <w:rPr>
          <w:rStyle w:val="Rimandonotaapidipagina"/>
        </w:rPr>
        <w:footnoteRef/>
      </w:r>
      <w:r>
        <w:t xml:space="preserve"> Legge </w:t>
      </w:r>
      <w:r w:rsidR="004624EC">
        <w:t xml:space="preserve">n. 213 del </w:t>
      </w:r>
      <w:r>
        <w:t>30 dicembre 2023</w:t>
      </w:r>
    </w:p>
  </w:footnote>
  <w:footnote w:id="32">
    <w:p w14:paraId="00D71C39" w14:textId="3827DB27" w:rsidR="00BD2291" w:rsidRDefault="00BD2291">
      <w:pPr>
        <w:pStyle w:val="Testonotaapidipagina"/>
      </w:pPr>
      <w:r>
        <w:rPr>
          <w:rStyle w:val="Rimandonotaapidipagina"/>
        </w:rPr>
        <w:footnoteRef/>
      </w:r>
      <w:r>
        <w:t xml:space="preserve"> </w:t>
      </w:r>
      <w:r w:rsidR="004624EC">
        <w:t>Legge n. 92 del 28 giugno 2012</w:t>
      </w:r>
    </w:p>
  </w:footnote>
  <w:footnote w:id="33">
    <w:p w14:paraId="7E90FC2C" w14:textId="28F42874" w:rsidR="007C260E" w:rsidRDefault="007C260E">
      <w:pPr>
        <w:pStyle w:val="Testonotaapidipagina"/>
      </w:pPr>
      <w:r>
        <w:rPr>
          <w:rStyle w:val="Rimandonotaapidipagina"/>
        </w:rPr>
        <w:footnoteRef/>
      </w:r>
      <w:r>
        <w:t xml:space="preserve"> </w:t>
      </w:r>
      <w:r w:rsidR="0005253F">
        <w:t>Come disciplinato dalla Legge n.2015 del 1992</w:t>
      </w:r>
    </w:p>
  </w:footnote>
  <w:footnote w:id="34">
    <w:p w14:paraId="0A0AD1A9" w14:textId="0EBCDA4B" w:rsidR="00366CB3" w:rsidRDefault="00366CB3">
      <w:pPr>
        <w:pStyle w:val="Testonotaapidipagina"/>
      </w:pPr>
      <w:r>
        <w:rPr>
          <w:rStyle w:val="Rimandonotaapidipagina"/>
        </w:rPr>
        <w:footnoteRef/>
      </w:r>
      <w:r>
        <w:t xml:space="preserve"> </w:t>
      </w:r>
      <w:r w:rsidR="00C00462">
        <w:t>L’elenco di fondi citati è da considerare non esaustivo</w:t>
      </w:r>
      <w:r w:rsidR="004B3934">
        <w:t>.</w:t>
      </w:r>
    </w:p>
  </w:footnote>
  <w:footnote w:id="35">
    <w:p w14:paraId="126821FD" w14:textId="77777777" w:rsidR="00011C7A" w:rsidRDefault="00011C7A" w:rsidP="00011C7A">
      <w:pPr>
        <w:pStyle w:val="Testonotaapidipagina"/>
      </w:pPr>
      <w:r>
        <w:rPr>
          <w:rStyle w:val="Rimandonotaapidipagina"/>
        </w:rPr>
        <w:footnoteRef/>
      </w:r>
      <w:r>
        <w:t xml:space="preserve"> </w:t>
      </w:r>
      <w:r w:rsidRPr="006E6EC2">
        <w:t>Inizialmente denominato Fondo per le Aree Sottoutilizzate (FAS) è il principale strumento del governo italiano di finanziamento e attuazione delle politiche di riduzione degli squilibri economici e sociali sul territorio nazionale. Raccoglie risorse nazionali aggiuntive, da sommarsi a quelle ordinarie e a quelle comunitarie e nazionali di cofinanziamento</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A637" w14:textId="74980F85" w:rsidR="00E1033B" w:rsidRPr="003128ED" w:rsidRDefault="00692962" w:rsidP="00EE2031">
    <w:pPr>
      <w:pStyle w:val="Intestazione"/>
      <w:rPr>
        <w:szCs w:val="20"/>
      </w:rPr>
    </w:pPr>
    <w:r>
      <w:rPr>
        <w:noProof/>
      </w:rPr>
      <w:pict w14:anchorId="2DB26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3054297" o:spid="_x0000_s1027" type="#_x0000_t136" style="position:absolute;left:0;text-align:left;margin-left:0;margin-top:0;width:660.4pt;height:37.1pt;rotation:315;z-index:-251654144;mso-position-horizontal:center;mso-position-horizontal-relative:margin;mso-position-vertical:center;mso-position-vertical-relative:margin" o:allowincell="f" fillcolor="silver" stroked="f">
          <v:fill opacity=".5"/>
          <v:textpath style="font-family:&quot;Arial&quot;;font-size:1pt" string="BOZZA PER CONSULTAZIONE PUBBLICA"/>
          <w10:wrap anchorx="margin" anchory="margin"/>
        </v:shape>
      </w:pict>
    </w:r>
    <w:r w:rsidR="00E1033B" w:rsidRPr="003128ED">
      <w:rPr>
        <w:b/>
      </w:rPr>
      <w:t>UNI/</w:t>
    </w:r>
    <w:proofErr w:type="spellStart"/>
    <w:r w:rsidR="00E1033B" w:rsidRPr="003128ED">
      <w:rPr>
        <w:b/>
      </w:rPr>
      <w:t>PdR</w:t>
    </w:r>
    <w:proofErr w:type="spellEnd"/>
    <w:r w:rsidR="00E1033B" w:rsidRPr="003128ED">
      <w:rPr>
        <w:b/>
      </w:rPr>
      <w:t xml:space="preserve"> XX:</w:t>
    </w:r>
    <w:r w:rsidR="00700240">
      <w:rPr>
        <w:b/>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1608" w14:textId="5C5C73A8" w:rsidR="00E1033B" w:rsidRPr="003128ED" w:rsidRDefault="00692962" w:rsidP="099806E9">
    <w:pPr>
      <w:pStyle w:val="Intestazione"/>
      <w:jc w:val="right"/>
      <w:rPr>
        <w:b/>
        <w:bCs/>
      </w:rPr>
    </w:pPr>
    <w:r>
      <w:rPr>
        <w:noProof/>
      </w:rPr>
      <w:pict w14:anchorId="3C0664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3054298" o:spid="_x0000_s1028" type="#_x0000_t136" style="position:absolute;left:0;text-align:left;margin-left:0;margin-top:0;width:660.4pt;height:37.1pt;rotation:315;z-index:-251652096;mso-position-horizontal:center;mso-position-horizontal-relative:margin;mso-position-vertical:center;mso-position-vertical-relative:margin" o:allowincell="f" fillcolor="silver" stroked="f">
          <v:fill opacity=".5"/>
          <v:textpath style="font-family:&quot;Arial&quot;;font-size:1pt" string="BOZZA PER CONSULTAZIONE PUBBLICA"/>
          <w10:wrap anchorx="margin" anchory="margin"/>
        </v:shape>
      </w:pict>
    </w:r>
    <w:r w:rsidR="099806E9" w:rsidRPr="099806E9">
      <w:rPr>
        <w:b/>
        <w:bCs/>
      </w:rPr>
      <w:t>UNI/</w:t>
    </w:r>
    <w:proofErr w:type="spellStart"/>
    <w:r w:rsidR="099806E9" w:rsidRPr="099806E9">
      <w:rPr>
        <w:b/>
        <w:bCs/>
      </w:rPr>
      <w:t>PdR</w:t>
    </w:r>
    <w:proofErr w:type="spellEnd"/>
    <w:r w:rsidR="099806E9" w:rsidRPr="099806E9">
      <w:rPr>
        <w:b/>
        <w:bCs/>
      </w:rPr>
      <w:t xml:space="preserve"> XX:2025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75DA5" w14:textId="12457F36" w:rsidR="00E1033B" w:rsidRPr="003128ED" w:rsidRDefault="00692962" w:rsidP="006D6866">
    <w:pPr>
      <w:pStyle w:val="Intestazione"/>
      <w:rPr>
        <w:b/>
      </w:rPr>
    </w:pPr>
    <w:r>
      <w:rPr>
        <w:noProof/>
      </w:rPr>
      <w:pict w14:anchorId="6D6D39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3054296" o:spid="_x0000_s1026" type="#_x0000_t136" style="position:absolute;left:0;text-align:left;margin-left:0;margin-top:0;width:660.4pt;height:37.1pt;rotation:315;z-index:-251656192;mso-position-horizontal:center;mso-position-horizontal-relative:margin;mso-position-vertical:center;mso-position-vertical-relative:margin" o:allowincell="f" fillcolor="silver" stroked="f">
          <v:fill opacity=".5"/>
          <v:textpath style="font-family:&quot;Arial&quot;;font-size:1pt" string="BOZZA PER CONSULTAZIONE PUBBLICA"/>
          <w10:wrap anchorx="margin" anchory="margin"/>
        </v:shape>
      </w:pict>
    </w:r>
    <w:r w:rsidR="00E1033B" w:rsidRPr="003128ED">
      <w:rPr>
        <w:b/>
        <w:noProof/>
        <w:lang w:eastAsia="it-IT"/>
      </w:rPr>
      <mc:AlternateContent>
        <mc:Choice Requires="wps">
          <w:drawing>
            <wp:anchor distT="0" distB="0" distL="114300" distR="114300" simplePos="0" relativeHeight="251657216" behindDoc="0" locked="0" layoutInCell="1" allowOverlap="1" wp14:anchorId="5D5AA398" wp14:editId="7942D3B6">
              <wp:simplePos x="0" y="0"/>
              <wp:positionH relativeFrom="column">
                <wp:posOffset>638175</wp:posOffset>
              </wp:positionH>
              <wp:positionV relativeFrom="paragraph">
                <wp:posOffset>456565</wp:posOffset>
              </wp:positionV>
              <wp:extent cx="6181725" cy="350520"/>
              <wp:effectExtent l="0" t="0" r="9525"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E8ECF" w14:textId="77777777" w:rsidR="00E1033B" w:rsidRPr="000604E5" w:rsidRDefault="00E1033B" w:rsidP="00EE20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5AA398" id="_x0000_t202" coordsize="21600,21600" o:spt="202" path="m,l,21600r21600,l21600,xe">
              <v:stroke joinstyle="miter"/>
              <v:path gradientshapeok="t" o:connecttype="rect"/>
            </v:shapetype>
            <v:shape id="Text Box 13" o:spid="_x0000_s1026" type="#_x0000_t202" style="position:absolute;left:0;text-align:left;margin-left:50.25pt;margin-top:35.95pt;width:486.75pt;height:2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" stroked="f">
              <v:textbox>
                <w:txbxContent>
                  <w:p w14:paraId="35AE8ECF" w14:textId="77777777" w:rsidR="00E1033B" w:rsidRPr="000604E5" w:rsidRDefault="00E1033B" w:rsidP="00EE2031"/>
                </w:txbxContent>
              </v:textbox>
            </v:shape>
          </w:pict>
        </mc:Fallback>
      </mc:AlternateContent>
    </w:r>
    <w:r w:rsidR="00E1033B" w:rsidRPr="003128ED">
      <w:rPr>
        <w:b/>
        <w:noProof/>
        <w:lang w:eastAsia="it-IT"/>
      </w:rPr>
      <mc:AlternateContent>
        <mc:Choice Requires="wps">
          <w:drawing>
            <wp:anchor distT="0" distB="0" distL="114300" distR="114300" simplePos="0" relativeHeight="251658240" behindDoc="0" locked="0" layoutInCell="1" allowOverlap="1" wp14:anchorId="13C0E7A1" wp14:editId="6A82BE5D">
              <wp:simplePos x="0" y="0"/>
              <wp:positionH relativeFrom="column">
                <wp:posOffset>638175</wp:posOffset>
              </wp:positionH>
              <wp:positionV relativeFrom="paragraph">
                <wp:posOffset>456565</wp:posOffset>
              </wp:positionV>
              <wp:extent cx="6181725" cy="350520"/>
              <wp:effectExtent l="0" t="0" r="9525"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87EDB" w14:textId="77777777" w:rsidR="00E1033B" w:rsidRPr="000604E5" w:rsidRDefault="00E1033B" w:rsidP="00EE20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C0E7A1" id="Text Box 14" o:spid="_x0000_s1027" type="#_x0000_t202" style="position:absolute;left:0;text-align:left;margin-left:50.25pt;margin-top:35.95pt;width:486.75pt;height:2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" stroked="f">
              <v:textbox>
                <w:txbxContent>
                  <w:p w14:paraId="19687EDB" w14:textId="77777777" w:rsidR="00E1033B" w:rsidRPr="000604E5" w:rsidRDefault="00E1033B" w:rsidP="00EE2031"/>
                </w:txbxContent>
              </v:textbox>
            </v:shape>
          </w:pict>
        </mc:Fallback>
      </mc:AlternateContent>
    </w:r>
    <w:r w:rsidR="00E1033B" w:rsidRPr="003128ED">
      <w:rPr>
        <w:b/>
      </w:rPr>
      <w:t xml:space="preserve">Versione </w:t>
    </w:r>
    <w:r w:rsidR="003A0317">
      <w:rPr>
        <w:b/>
      </w:rPr>
      <w:t>1</w:t>
    </w:r>
    <w:r w:rsidR="00E1033B" w:rsidRPr="003128ED">
      <w:rPr>
        <w:b/>
      </w:rPr>
      <w:tab/>
    </w:r>
    <w:r w:rsidR="00E1033B" w:rsidRPr="003128ED">
      <w:rPr>
        <w:b/>
      </w:rPr>
      <w:tab/>
    </w:r>
    <w:r w:rsidR="00E1033B" w:rsidRPr="003128ED">
      <w:rPr>
        <w:b/>
      </w:rPr>
      <w:tab/>
    </w:r>
    <w:r w:rsidR="00E1033B" w:rsidRPr="003128ED">
      <w:rPr>
        <w:b/>
      </w:rPr>
      <w:tab/>
    </w:r>
    <w:r w:rsidR="00E1033B" w:rsidRPr="003128ED">
      <w:rPr>
        <w:b/>
      </w:rPr>
      <w:tab/>
    </w:r>
    <w:r w:rsidR="00E1033B" w:rsidRPr="003128ED">
      <w:rPr>
        <w:b/>
      </w:rPr>
      <w:tab/>
    </w:r>
    <w:r w:rsidR="00E1033B" w:rsidRPr="003128ED">
      <w:rPr>
        <w:b/>
      </w:rPr>
      <w:tab/>
    </w:r>
    <w:r w:rsidR="00E1033B" w:rsidRPr="003128ED">
      <w:rPr>
        <w:b/>
      </w:rPr>
      <w:tab/>
    </w:r>
    <w:r w:rsidR="005179BC" w:rsidRPr="003128ED">
      <w:rPr>
        <w:b/>
      </w:rPr>
      <w:t>UNI/</w:t>
    </w:r>
    <w:proofErr w:type="spellStart"/>
    <w:r w:rsidR="005179BC" w:rsidRPr="003128ED">
      <w:rPr>
        <w:b/>
      </w:rPr>
      <w:t>PdR</w:t>
    </w:r>
    <w:proofErr w:type="spellEnd"/>
    <w:r w:rsidR="005179BC" w:rsidRPr="003128ED">
      <w:rPr>
        <w:b/>
      </w:rPr>
      <w:t xml:space="preserve"> XX:20</w:t>
    </w:r>
    <w:r w:rsidR="00E0170A" w:rsidRPr="003128ED">
      <w:rPr>
        <w:b/>
      </w:rPr>
      <w:t>2</w:t>
    </w:r>
    <w:r w:rsidR="00F67E12">
      <w:rPr>
        <w:b/>
      </w:rPr>
      <w:t>5</w:t>
    </w:r>
  </w:p>
  <w:p w14:paraId="58D76782" w14:textId="77777777" w:rsidR="00E1033B" w:rsidRDefault="00E1033B">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37D0" w14:textId="04BD35C6" w:rsidR="00700240" w:rsidRDefault="00692962">
    <w:pPr>
      <w:pStyle w:val="Intestazione"/>
    </w:pPr>
    <w:r>
      <w:rPr>
        <w:noProof/>
      </w:rPr>
      <w:pict w14:anchorId="13BAEA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3054300" o:spid="_x0000_s1030" type="#_x0000_t136" style="position:absolute;left:0;text-align:left;margin-left:0;margin-top:0;width:649.95pt;height:37.1pt;rotation:315;z-index:-251648000;mso-position-horizontal:center;mso-position-horizontal-relative:margin;mso-position-vertical:center;mso-position-vertical-relative:margin" o:allowincell="f" fillcolor="silver" stroked="f">
          <v:fill opacity=".5"/>
          <v:textpath style="font-family:&quot;Arial&quot;;font-size:1pt" string="BOZZA PER CONSULTAZIONE PUBBLIC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3482C" w14:textId="3A8CD6F1" w:rsidR="00700240" w:rsidRDefault="00692962">
    <w:pPr>
      <w:pStyle w:val="Intestazione"/>
    </w:pPr>
    <w:r>
      <w:rPr>
        <w:noProof/>
      </w:rPr>
      <w:pict w14:anchorId="7C9D5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3054301" o:spid="_x0000_s1031" type="#_x0000_t136" style="position:absolute;left:0;text-align:left;margin-left:0;margin-top:0;width:649.95pt;height:37.1pt;rotation:315;z-index:-251645952;mso-position-horizontal:center;mso-position-horizontal-relative:margin;mso-position-vertical:center;mso-position-vertical-relative:margin" o:allowincell="f" fillcolor="silver" stroked="f">
          <v:fill opacity=".5"/>
          <v:textpath style="font-family:&quot;Arial&quot;;font-size:1pt" string="BOZZA PER CONSULTAZIONE PUBBLICA"/>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964B" w14:textId="74187DA0" w:rsidR="00700240" w:rsidRDefault="00692962">
    <w:pPr>
      <w:pStyle w:val="Intestazione"/>
    </w:pPr>
    <w:r>
      <w:rPr>
        <w:noProof/>
      </w:rPr>
      <w:pict w14:anchorId="04455D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3054299" o:spid="_x0000_s1029" type="#_x0000_t136" style="position:absolute;left:0;text-align:left;margin-left:0;margin-top:0;width:649.95pt;height:37.1pt;rotation:315;z-index:-251650048;mso-position-horizontal:center;mso-position-horizontal-relative:margin;mso-position-vertical:center;mso-position-vertical-relative:margin" o:allowincell="f" fillcolor="silver" stroked="f">
          <v:fill opacity=".5"/>
          <v:textpath style="font-family:&quot;Arial&quot;;font-size:1pt" string="BOZZA PER CONSULTAZIONE PUB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1"/>
    <w:lvl w:ilvl="0">
      <w:start w:val="1"/>
      <w:numFmt w:val="lowerRoman"/>
      <w:lvlText w:val="%1)"/>
      <w:lvlJc w:val="left"/>
      <w:pPr>
        <w:tabs>
          <w:tab w:val="num" w:pos="2520"/>
        </w:tabs>
        <w:ind w:left="2520" w:hanging="720"/>
      </w:pPr>
    </w:lvl>
  </w:abstractNum>
  <w:abstractNum w:abstractNumId="1" w15:restartNumberingAfterBreak="0">
    <w:nsid w:val="00000002"/>
    <w:multiLevelType w:val="singleLevel"/>
    <w:tmpl w:val="00000002"/>
    <w:name w:val="WW8Num13"/>
    <w:lvl w:ilvl="0">
      <w:start w:val="12"/>
      <w:numFmt w:val="bullet"/>
      <w:lvlText w:val="-"/>
      <w:lvlJc w:val="left"/>
      <w:pPr>
        <w:tabs>
          <w:tab w:val="num" w:pos="0"/>
        </w:tabs>
        <w:ind w:left="1080" w:hanging="360"/>
      </w:pPr>
      <w:rPr>
        <w:rFonts w:ascii="Calibri" w:hAnsi="Calibri" w:cs="Times New Roman"/>
      </w:rPr>
    </w:lvl>
  </w:abstractNum>
  <w:abstractNum w:abstractNumId="2" w15:restartNumberingAfterBreak="0">
    <w:nsid w:val="00000003"/>
    <w:multiLevelType w:val="singleLevel"/>
    <w:tmpl w:val="00000003"/>
    <w:name w:val="WW8Num14"/>
    <w:lvl w:ilvl="0">
      <w:start w:val="1"/>
      <w:numFmt w:val="lowerLetter"/>
      <w:lvlText w:val="%1)"/>
      <w:lvlJc w:val="left"/>
      <w:pPr>
        <w:tabs>
          <w:tab w:val="num" w:pos="720"/>
        </w:tabs>
        <w:ind w:left="720" w:hanging="720"/>
      </w:pPr>
    </w:lvl>
  </w:abstractNum>
  <w:abstractNum w:abstractNumId="3" w15:restartNumberingAfterBreak="0">
    <w:nsid w:val="00000004"/>
    <w:multiLevelType w:val="singleLevel"/>
    <w:tmpl w:val="00000004"/>
    <w:name w:val="WW8Num15"/>
    <w:lvl w:ilvl="0">
      <w:start w:val="1"/>
      <w:numFmt w:val="bullet"/>
      <w:lvlText w:val="-"/>
      <w:lvlJc w:val="left"/>
      <w:pPr>
        <w:tabs>
          <w:tab w:val="num" w:pos="1440"/>
        </w:tabs>
        <w:ind w:left="1440" w:hanging="360"/>
      </w:pPr>
      <w:rPr>
        <w:rFonts w:ascii="Century" w:hAnsi="Century" w:cs="Times New Roman"/>
      </w:rPr>
    </w:lvl>
  </w:abstractNum>
  <w:abstractNum w:abstractNumId="4" w15:restartNumberingAfterBreak="0">
    <w:nsid w:val="00000005"/>
    <w:multiLevelType w:val="singleLevel"/>
    <w:tmpl w:val="00000005"/>
    <w:name w:val="WW8Num16"/>
    <w:lvl w:ilvl="0">
      <w:start w:val="1"/>
      <w:numFmt w:val="lowerLetter"/>
      <w:lvlText w:val="%1)"/>
      <w:lvlJc w:val="left"/>
      <w:pPr>
        <w:tabs>
          <w:tab w:val="num" w:pos="1440"/>
        </w:tabs>
        <w:ind w:left="1440" w:hanging="360"/>
      </w:pPr>
    </w:lvl>
  </w:abstractNum>
  <w:abstractNum w:abstractNumId="5" w15:restartNumberingAfterBreak="0">
    <w:nsid w:val="00000006"/>
    <w:multiLevelType w:val="singleLevel"/>
    <w:tmpl w:val="00000006"/>
    <w:name w:val="WW8Num18"/>
    <w:lvl w:ilvl="0">
      <w:start w:val="1"/>
      <w:numFmt w:val="lowerLetter"/>
      <w:lvlText w:val="%1)"/>
      <w:lvlJc w:val="left"/>
      <w:pPr>
        <w:tabs>
          <w:tab w:val="num" w:pos="0"/>
        </w:tabs>
        <w:ind w:left="1440" w:hanging="360"/>
      </w:pPr>
    </w:lvl>
  </w:abstractNum>
  <w:abstractNum w:abstractNumId="6" w15:restartNumberingAfterBreak="0">
    <w:nsid w:val="00000007"/>
    <w:multiLevelType w:val="singleLevel"/>
    <w:tmpl w:val="00000007"/>
    <w:name w:val="WW8Num24"/>
    <w:lvl w:ilvl="0">
      <w:start w:val="12"/>
      <w:numFmt w:val="bullet"/>
      <w:lvlText w:val="-"/>
      <w:lvlJc w:val="left"/>
      <w:pPr>
        <w:tabs>
          <w:tab w:val="num" w:pos="0"/>
        </w:tabs>
        <w:ind w:left="2340" w:hanging="360"/>
      </w:pPr>
      <w:rPr>
        <w:rFonts w:ascii="Calibri" w:hAnsi="Calibri" w:cs="Times New Roman"/>
      </w:rPr>
    </w:lvl>
  </w:abstractNum>
  <w:abstractNum w:abstractNumId="7" w15:restartNumberingAfterBreak="0">
    <w:nsid w:val="00000008"/>
    <w:multiLevelType w:val="multilevel"/>
    <w:tmpl w:val="00000008"/>
    <w:name w:val="WW8Num27"/>
    <w:lvl w:ilvl="0">
      <w:start w:val="1"/>
      <w:numFmt w:val="lowerLetter"/>
      <w:lvlText w:val="%1)"/>
      <w:lvlJc w:val="left"/>
      <w:pPr>
        <w:tabs>
          <w:tab w:val="num" w:pos="1440"/>
        </w:tabs>
        <w:ind w:left="1440" w:hanging="360"/>
      </w:pPr>
    </w:lvl>
    <w:lvl w:ilvl="1">
      <w:start w:val="1"/>
      <w:numFmt w:val="lowerRoman"/>
      <w:lvlText w:val="%2)"/>
      <w:lvlJc w:val="left"/>
      <w:pPr>
        <w:tabs>
          <w:tab w:val="num" w:pos="1571"/>
        </w:tabs>
        <w:ind w:left="1571" w:hanging="720"/>
      </w:pPr>
    </w:lvl>
    <w:lvl w:ilvl="2">
      <w:start w:val="1"/>
      <w:numFmt w:val="lowerRoman"/>
      <w:lvlText w:val="%3."/>
      <w:lvlJc w:val="lef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lef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left"/>
      <w:pPr>
        <w:tabs>
          <w:tab w:val="num" w:pos="7200"/>
        </w:tabs>
        <w:ind w:left="7200" w:hanging="180"/>
      </w:pPr>
    </w:lvl>
  </w:abstractNum>
  <w:abstractNum w:abstractNumId="8" w15:restartNumberingAfterBreak="0">
    <w:nsid w:val="00000009"/>
    <w:multiLevelType w:val="singleLevel"/>
    <w:tmpl w:val="00000009"/>
    <w:name w:val="WW8Num33"/>
    <w:lvl w:ilvl="0">
      <w:start w:val="1"/>
      <w:numFmt w:val="bullet"/>
      <w:lvlText w:val=""/>
      <w:lvlJc w:val="left"/>
      <w:pPr>
        <w:tabs>
          <w:tab w:val="num" w:pos="360"/>
        </w:tabs>
        <w:ind w:left="360" w:hanging="360"/>
      </w:pPr>
      <w:rPr>
        <w:rFonts w:ascii="Symbol" w:hAnsi="Symbol" w:cs="Symbol"/>
      </w:rPr>
    </w:lvl>
  </w:abstractNum>
  <w:abstractNum w:abstractNumId="9" w15:restartNumberingAfterBreak="0">
    <w:nsid w:val="0000000A"/>
    <w:multiLevelType w:val="multilevel"/>
    <w:tmpl w:val="0000000A"/>
    <w:name w:val="WW8Num34"/>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lowerRoman"/>
      <w:lvlText w:val="%3."/>
      <w:lvlJc w:val="left"/>
      <w:pPr>
        <w:tabs>
          <w:tab w:val="num" w:pos="360"/>
        </w:tabs>
        <w:ind w:left="360" w:hanging="360"/>
      </w:pPr>
    </w:lvl>
    <w:lvl w:ilvl="3">
      <w:start w:val="1"/>
      <w:numFmt w:val="lowerRoman"/>
      <w:lvlText w:val="%4."/>
      <w:lvlJc w:val="left"/>
      <w:pPr>
        <w:tabs>
          <w:tab w:val="num" w:pos="360"/>
        </w:tabs>
        <w:ind w:left="36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15:restartNumberingAfterBreak="0">
    <w:nsid w:val="0000000B"/>
    <w:multiLevelType w:val="singleLevel"/>
    <w:tmpl w:val="0000000B"/>
    <w:name w:val="WW8Num36"/>
    <w:lvl w:ilvl="0">
      <w:start w:val="1"/>
      <w:numFmt w:val="bullet"/>
      <w:lvlText w:val=""/>
      <w:lvlJc w:val="left"/>
      <w:pPr>
        <w:tabs>
          <w:tab w:val="num" w:pos="1080"/>
        </w:tabs>
        <w:ind w:left="1080" w:hanging="360"/>
      </w:pPr>
      <w:rPr>
        <w:rFonts w:ascii="Symbol" w:hAnsi="Symbol" w:cs="Symbol"/>
      </w:rPr>
    </w:lvl>
  </w:abstractNum>
  <w:abstractNum w:abstractNumId="11" w15:restartNumberingAfterBreak="0">
    <w:nsid w:val="0000000C"/>
    <w:multiLevelType w:val="multilevel"/>
    <w:tmpl w:val="0000000C"/>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D"/>
    <w:multiLevelType w:val="singleLevel"/>
    <w:tmpl w:val="0000000D"/>
    <w:name w:val="WW8Num42"/>
    <w:lvl w:ilvl="0">
      <w:start w:val="1"/>
      <w:numFmt w:val="lowerLetter"/>
      <w:lvlText w:val="%1)"/>
      <w:lvlJc w:val="left"/>
      <w:pPr>
        <w:tabs>
          <w:tab w:val="num" w:pos="720"/>
        </w:tabs>
        <w:ind w:left="720" w:hanging="360"/>
      </w:pPr>
    </w:lvl>
  </w:abstractNum>
  <w:abstractNum w:abstractNumId="13" w15:restartNumberingAfterBreak="0">
    <w:nsid w:val="085F52E8"/>
    <w:multiLevelType w:val="multilevel"/>
    <w:tmpl w:val="BB1255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2D01CE"/>
    <w:multiLevelType w:val="hybridMultilevel"/>
    <w:tmpl w:val="5810B72A"/>
    <w:lvl w:ilvl="0" w:tplc="88F210D0">
      <w:start w:val="14"/>
      <w:numFmt w:val="bullet"/>
      <w:lvlText w:val="-"/>
      <w:lvlJc w:val="left"/>
      <w:pPr>
        <w:ind w:left="720"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13E56710"/>
    <w:multiLevelType w:val="hybridMultilevel"/>
    <w:tmpl w:val="508464FE"/>
    <w:lvl w:ilvl="0" w:tplc="0410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62E71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B5A136F"/>
    <w:multiLevelType w:val="multilevel"/>
    <w:tmpl w:val="D12AF5E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AD358E"/>
    <w:multiLevelType w:val="hybridMultilevel"/>
    <w:tmpl w:val="8406704E"/>
    <w:lvl w:ilvl="0" w:tplc="F8E61750">
      <w:numFmt w:val="bullet"/>
      <w:pStyle w:val="PARAGRAPHINDENT"/>
      <w:lvlText w:val="−"/>
      <w:lvlJc w:val="left"/>
      <w:pPr>
        <w:ind w:left="720" w:hanging="360"/>
      </w:pPr>
      <w:rPr>
        <w:rFonts w:ascii="Garamond" w:hAnsi="Garamond" w:cs="Times New Roman" w:hint="default"/>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1FC20469"/>
    <w:multiLevelType w:val="hybridMultilevel"/>
    <w:tmpl w:val="42F66A2C"/>
    <w:lvl w:ilvl="0" w:tplc="E25C9FC2">
      <w:start w:val="202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4DF37D6"/>
    <w:multiLevelType w:val="hybridMultilevel"/>
    <w:tmpl w:val="77BAA1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7510ED6"/>
    <w:multiLevelType w:val="hybridMultilevel"/>
    <w:tmpl w:val="C870EFF4"/>
    <w:lvl w:ilvl="0" w:tplc="FFA85E9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90C7229"/>
    <w:multiLevelType w:val="hybridMultilevel"/>
    <w:tmpl w:val="C7802FF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B6F79E4"/>
    <w:multiLevelType w:val="hybridMultilevel"/>
    <w:tmpl w:val="CBBA1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C9F794C"/>
    <w:multiLevelType w:val="hybridMultilevel"/>
    <w:tmpl w:val="2E76E3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E176BB2"/>
    <w:multiLevelType w:val="hybridMultilevel"/>
    <w:tmpl w:val="C31CA2FC"/>
    <w:lvl w:ilvl="0" w:tplc="4CA60018">
      <w:numFmt w:val="bullet"/>
      <w:lvlText w:val="-"/>
      <w:lvlJc w:val="left"/>
      <w:pPr>
        <w:ind w:left="870" w:hanging="356"/>
      </w:pPr>
      <w:rPr>
        <w:rFonts w:ascii="Courier New" w:eastAsia="Courier New" w:hAnsi="Courier New" w:cs="Courier New" w:hint="default"/>
        <w:b w:val="0"/>
        <w:bCs w:val="0"/>
        <w:i w:val="0"/>
        <w:iCs w:val="0"/>
        <w:spacing w:val="0"/>
        <w:w w:val="100"/>
        <w:sz w:val="22"/>
        <w:szCs w:val="22"/>
        <w:lang w:val="it-IT" w:eastAsia="en-US" w:bidi="ar-SA"/>
      </w:rPr>
    </w:lvl>
    <w:lvl w:ilvl="1" w:tplc="E3E45202">
      <w:numFmt w:val="bullet"/>
      <w:lvlText w:val="•"/>
      <w:lvlJc w:val="left"/>
      <w:pPr>
        <w:ind w:left="1782" w:hanging="356"/>
      </w:pPr>
      <w:rPr>
        <w:rFonts w:hint="default"/>
        <w:lang w:val="it-IT" w:eastAsia="en-US" w:bidi="ar-SA"/>
      </w:rPr>
    </w:lvl>
    <w:lvl w:ilvl="2" w:tplc="AB5A4F64">
      <w:numFmt w:val="bullet"/>
      <w:lvlText w:val="•"/>
      <w:lvlJc w:val="left"/>
      <w:pPr>
        <w:ind w:left="2685" w:hanging="356"/>
      </w:pPr>
      <w:rPr>
        <w:rFonts w:hint="default"/>
        <w:lang w:val="it-IT" w:eastAsia="en-US" w:bidi="ar-SA"/>
      </w:rPr>
    </w:lvl>
    <w:lvl w:ilvl="3" w:tplc="430A2252">
      <w:numFmt w:val="bullet"/>
      <w:lvlText w:val="•"/>
      <w:lvlJc w:val="left"/>
      <w:pPr>
        <w:ind w:left="3587" w:hanging="356"/>
      </w:pPr>
      <w:rPr>
        <w:rFonts w:hint="default"/>
        <w:lang w:val="it-IT" w:eastAsia="en-US" w:bidi="ar-SA"/>
      </w:rPr>
    </w:lvl>
    <w:lvl w:ilvl="4" w:tplc="ED2A2A84">
      <w:numFmt w:val="bullet"/>
      <w:lvlText w:val="•"/>
      <w:lvlJc w:val="left"/>
      <w:pPr>
        <w:ind w:left="4490" w:hanging="356"/>
      </w:pPr>
      <w:rPr>
        <w:rFonts w:hint="default"/>
        <w:lang w:val="it-IT" w:eastAsia="en-US" w:bidi="ar-SA"/>
      </w:rPr>
    </w:lvl>
    <w:lvl w:ilvl="5" w:tplc="93A233E6">
      <w:numFmt w:val="bullet"/>
      <w:lvlText w:val="•"/>
      <w:lvlJc w:val="left"/>
      <w:pPr>
        <w:ind w:left="5393" w:hanging="356"/>
      </w:pPr>
      <w:rPr>
        <w:rFonts w:hint="default"/>
        <w:lang w:val="it-IT" w:eastAsia="en-US" w:bidi="ar-SA"/>
      </w:rPr>
    </w:lvl>
    <w:lvl w:ilvl="6" w:tplc="63F4E8FC">
      <w:numFmt w:val="bullet"/>
      <w:lvlText w:val="•"/>
      <w:lvlJc w:val="left"/>
      <w:pPr>
        <w:ind w:left="6295" w:hanging="356"/>
      </w:pPr>
      <w:rPr>
        <w:rFonts w:hint="default"/>
        <w:lang w:val="it-IT" w:eastAsia="en-US" w:bidi="ar-SA"/>
      </w:rPr>
    </w:lvl>
    <w:lvl w:ilvl="7" w:tplc="C52A6A36">
      <w:numFmt w:val="bullet"/>
      <w:lvlText w:val="•"/>
      <w:lvlJc w:val="left"/>
      <w:pPr>
        <w:ind w:left="7198" w:hanging="356"/>
      </w:pPr>
      <w:rPr>
        <w:rFonts w:hint="default"/>
        <w:lang w:val="it-IT" w:eastAsia="en-US" w:bidi="ar-SA"/>
      </w:rPr>
    </w:lvl>
    <w:lvl w:ilvl="8" w:tplc="2E3410C0">
      <w:numFmt w:val="bullet"/>
      <w:lvlText w:val="•"/>
      <w:lvlJc w:val="left"/>
      <w:pPr>
        <w:ind w:left="8101" w:hanging="356"/>
      </w:pPr>
      <w:rPr>
        <w:rFonts w:hint="default"/>
        <w:lang w:val="it-IT" w:eastAsia="en-US" w:bidi="ar-SA"/>
      </w:rPr>
    </w:lvl>
  </w:abstractNum>
  <w:abstractNum w:abstractNumId="26" w15:restartNumberingAfterBreak="0">
    <w:nsid w:val="2EAE0CEB"/>
    <w:multiLevelType w:val="hybridMultilevel"/>
    <w:tmpl w:val="6792A3C2"/>
    <w:lvl w:ilvl="0" w:tplc="88F210D0">
      <w:start w:val="1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F6C7EE4"/>
    <w:multiLevelType w:val="hybridMultilevel"/>
    <w:tmpl w:val="6E624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0875CBD"/>
    <w:multiLevelType w:val="hybridMultilevel"/>
    <w:tmpl w:val="3C1C90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5A8AD26"/>
    <w:multiLevelType w:val="hybridMultilevel"/>
    <w:tmpl w:val="E8C8C908"/>
    <w:lvl w:ilvl="0" w:tplc="D8D61660">
      <w:start w:val="1"/>
      <w:numFmt w:val="bullet"/>
      <w:lvlText w:val="-"/>
      <w:lvlJc w:val="left"/>
      <w:pPr>
        <w:ind w:left="720" w:hanging="360"/>
      </w:pPr>
      <w:rPr>
        <w:rFonts w:ascii="Calibri" w:hAnsi="Calibri" w:hint="default"/>
      </w:rPr>
    </w:lvl>
    <w:lvl w:ilvl="1" w:tplc="DC80A12C">
      <w:start w:val="1"/>
      <w:numFmt w:val="bullet"/>
      <w:lvlText w:val="o"/>
      <w:lvlJc w:val="left"/>
      <w:pPr>
        <w:ind w:left="1440" w:hanging="360"/>
      </w:pPr>
      <w:rPr>
        <w:rFonts w:ascii="Courier New" w:hAnsi="Courier New" w:hint="default"/>
      </w:rPr>
    </w:lvl>
    <w:lvl w:ilvl="2" w:tplc="A4B0794A">
      <w:start w:val="1"/>
      <w:numFmt w:val="bullet"/>
      <w:lvlText w:val=""/>
      <w:lvlJc w:val="left"/>
      <w:pPr>
        <w:ind w:left="2160" w:hanging="360"/>
      </w:pPr>
      <w:rPr>
        <w:rFonts w:ascii="Wingdings" w:hAnsi="Wingdings" w:hint="default"/>
      </w:rPr>
    </w:lvl>
    <w:lvl w:ilvl="3" w:tplc="863E64C6">
      <w:start w:val="1"/>
      <w:numFmt w:val="bullet"/>
      <w:lvlText w:val=""/>
      <w:lvlJc w:val="left"/>
      <w:pPr>
        <w:ind w:left="2880" w:hanging="360"/>
      </w:pPr>
      <w:rPr>
        <w:rFonts w:ascii="Symbol" w:hAnsi="Symbol" w:hint="default"/>
      </w:rPr>
    </w:lvl>
    <w:lvl w:ilvl="4" w:tplc="65E0A1C0">
      <w:start w:val="1"/>
      <w:numFmt w:val="bullet"/>
      <w:lvlText w:val="o"/>
      <w:lvlJc w:val="left"/>
      <w:pPr>
        <w:ind w:left="3600" w:hanging="360"/>
      </w:pPr>
      <w:rPr>
        <w:rFonts w:ascii="Courier New" w:hAnsi="Courier New" w:hint="default"/>
      </w:rPr>
    </w:lvl>
    <w:lvl w:ilvl="5" w:tplc="ADB4846E">
      <w:start w:val="1"/>
      <w:numFmt w:val="bullet"/>
      <w:lvlText w:val=""/>
      <w:lvlJc w:val="left"/>
      <w:pPr>
        <w:ind w:left="4320" w:hanging="360"/>
      </w:pPr>
      <w:rPr>
        <w:rFonts w:ascii="Wingdings" w:hAnsi="Wingdings" w:hint="default"/>
      </w:rPr>
    </w:lvl>
    <w:lvl w:ilvl="6" w:tplc="03623250">
      <w:start w:val="1"/>
      <w:numFmt w:val="bullet"/>
      <w:lvlText w:val=""/>
      <w:lvlJc w:val="left"/>
      <w:pPr>
        <w:ind w:left="5040" w:hanging="360"/>
      </w:pPr>
      <w:rPr>
        <w:rFonts w:ascii="Symbol" w:hAnsi="Symbol" w:hint="default"/>
      </w:rPr>
    </w:lvl>
    <w:lvl w:ilvl="7" w:tplc="A1A60024">
      <w:start w:val="1"/>
      <w:numFmt w:val="bullet"/>
      <w:lvlText w:val="o"/>
      <w:lvlJc w:val="left"/>
      <w:pPr>
        <w:ind w:left="5760" w:hanging="360"/>
      </w:pPr>
      <w:rPr>
        <w:rFonts w:ascii="Courier New" w:hAnsi="Courier New" w:hint="default"/>
      </w:rPr>
    </w:lvl>
    <w:lvl w:ilvl="8" w:tplc="BC4C2FBE">
      <w:start w:val="1"/>
      <w:numFmt w:val="bullet"/>
      <w:lvlText w:val=""/>
      <w:lvlJc w:val="left"/>
      <w:pPr>
        <w:ind w:left="6480" w:hanging="360"/>
      </w:pPr>
      <w:rPr>
        <w:rFonts w:ascii="Wingdings" w:hAnsi="Wingdings" w:hint="default"/>
      </w:rPr>
    </w:lvl>
  </w:abstractNum>
  <w:abstractNum w:abstractNumId="30" w15:restartNumberingAfterBreak="0">
    <w:nsid w:val="36E94ECD"/>
    <w:multiLevelType w:val="hybridMultilevel"/>
    <w:tmpl w:val="93C2ECDA"/>
    <w:lvl w:ilvl="0" w:tplc="0BC87280">
      <w:start w:val="1"/>
      <w:numFmt w:val="lowerLetter"/>
      <w:lvlText w:val="%1)"/>
      <w:lvlJc w:val="left"/>
      <w:pPr>
        <w:ind w:left="1020" w:hanging="360"/>
      </w:pPr>
    </w:lvl>
    <w:lvl w:ilvl="1" w:tplc="3B34A0DA">
      <w:start w:val="1"/>
      <w:numFmt w:val="lowerLetter"/>
      <w:lvlText w:val="%2)"/>
      <w:lvlJc w:val="left"/>
      <w:pPr>
        <w:ind w:left="1020" w:hanging="360"/>
      </w:pPr>
    </w:lvl>
    <w:lvl w:ilvl="2" w:tplc="7A56A60C">
      <w:start w:val="1"/>
      <w:numFmt w:val="lowerLetter"/>
      <w:lvlText w:val="%3)"/>
      <w:lvlJc w:val="left"/>
      <w:pPr>
        <w:ind w:left="1020" w:hanging="360"/>
      </w:pPr>
    </w:lvl>
    <w:lvl w:ilvl="3" w:tplc="B5DC4B50">
      <w:start w:val="1"/>
      <w:numFmt w:val="lowerLetter"/>
      <w:lvlText w:val="%4)"/>
      <w:lvlJc w:val="left"/>
      <w:pPr>
        <w:ind w:left="1020" w:hanging="360"/>
      </w:pPr>
    </w:lvl>
    <w:lvl w:ilvl="4" w:tplc="961A02C8">
      <w:start w:val="1"/>
      <w:numFmt w:val="lowerLetter"/>
      <w:lvlText w:val="%5)"/>
      <w:lvlJc w:val="left"/>
      <w:pPr>
        <w:ind w:left="1020" w:hanging="360"/>
      </w:pPr>
    </w:lvl>
    <w:lvl w:ilvl="5" w:tplc="EBFA9C68">
      <w:start w:val="1"/>
      <w:numFmt w:val="lowerLetter"/>
      <w:lvlText w:val="%6)"/>
      <w:lvlJc w:val="left"/>
      <w:pPr>
        <w:ind w:left="1020" w:hanging="360"/>
      </w:pPr>
    </w:lvl>
    <w:lvl w:ilvl="6" w:tplc="E18E8562">
      <w:start w:val="1"/>
      <w:numFmt w:val="lowerLetter"/>
      <w:lvlText w:val="%7)"/>
      <w:lvlJc w:val="left"/>
      <w:pPr>
        <w:ind w:left="1020" w:hanging="360"/>
      </w:pPr>
    </w:lvl>
    <w:lvl w:ilvl="7" w:tplc="664248DE">
      <w:start w:val="1"/>
      <w:numFmt w:val="lowerLetter"/>
      <w:lvlText w:val="%8)"/>
      <w:lvlJc w:val="left"/>
      <w:pPr>
        <w:ind w:left="1020" w:hanging="360"/>
      </w:pPr>
    </w:lvl>
    <w:lvl w:ilvl="8" w:tplc="DBA6EEB4">
      <w:start w:val="1"/>
      <w:numFmt w:val="lowerLetter"/>
      <w:lvlText w:val="%9)"/>
      <w:lvlJc w:val="left"/>
      <w:pPr>
        <w:ind w:left="1020" w:hanging="360"/>
      </w:pPr>
    </w:lvl>
  </w:abstractNum>
  <w:abstractNum w:abstractNumId="31" w15:restartNumberingAfterBreak="0">
    <w:nsid w:val="375E52FA"/>
    <w:multiLevelType w:val="hybridMultilevel"/>
    <w:tmpl w:val="027476C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39676EAB"/>
    <w:multiLevelType w:val="hybridMultilevel"/>
    <w:tmpl w:val="EDEAF1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D8C7151"/>
    <w:multiLevelType w:val="multilevel"/>
    <w:tmpl w:val="0000000C"/>
    <w:styleLink w:val="StileStrutturaLatinoArialGrassettoNeroSinistro0cm"/>
    <w:lvl w:ilvl="0">
      <w:start w:val="1"/>
      <w:numFmt w:val="decimal"/>
      <w:lvlText w:val="%1."/>
      <w:lvlJc w:val="left"/>
      <w:pPr>
        <w:tabs>
          <w:tab w:val="num" w:pos="0"/>
        </w:tabs>
        <w:ind w:left="360" w:hanging="360"/>
      </w:pPr>
      <w:rPr>
        <w:rFonts w:ascii="Arial" w:hAnsi="Arial"/>
        <w:sz w:val="22"/>
      </w:rPr>
    </w:lvl>
    <w:lvl w:ilvl="1">
      <w:start w:val="1"/>
      <w:numFmt w:val="decimal"/>
      <w:lvlText w:val="%1.%2"/>
      <w:lvlJc w:val="left"/>
      <w:pPr>
        <w:tabs>
          <w:tab w:val="num" w:pos="0"/>
        </w:tabs>
        <w:ind w:left="360" w:hanging="360"/>
      </w:pPr>
      <w:rPr>
        <w:b/>
        <w:bCs/>
        <w:color w:val="000000"/>
        <w:sz w:val="22"/>
      </w:rPr>
    </w:lvl>
    <w:lvl w:ilvl="2">
      <w:start w:val="1"/>
      <w:numFmt w:val="decimal"/>
      <w:pStyle w:val="Paragrafoelenco"/>
      <w:lvlText w:val="%1.%2.%3"/>
      <w:lvlJc w:val="left"/>
      <w:pPr>
        <w:tabs>
          <w:tab w:val="num" w:pos="0"/>
        </w:tabs>
        <w:ind w:left="720" w:hanging="720"/>
      </w:pPr>
      <w:rPr>
        <w:b/>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4" w15:restartNumberingAfterBreak="0">
    <w:nsid w:val="40F07A85"/>
    <w:multiLevelType w:val="hybridMultilevel"/>
    <w:tmpl w:val="1D3E40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6A26881"/>
    <w:multiLevelType w:val="multilevel"/>
    <w:tmpl w:val="9A10CFF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E474AA8"/>
    <w:multiLevelType w:val="multilevel"/>
    <w:tmpl w:val="9890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127445"/>
    <w:multiLevelType w:val="multilevel"/>
    <w:tmpl w:val="7AA46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52561D"/>
    <w:multiLevelType w:val="multilevel"/>
    <w:tmpl w:val="B0A6760E"/>
    <w:lvl w:ilvl="0">
      <w:start w:val="5"/>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9" w15:restartNumberingAfterBreak="0">
    <w:nsid w:val="647079C7"/>
    <w:multiLevelType w:val="hybridMultilevel"/>
    <w:tmpl w:val="40B82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7395046"/>
    <w:multiLevelType w:val="multilevel"/>
    <w:tmpl w:val="72C8D36E"/>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860" w:hanging="576"/>
      </w:pPr>
      <w:rPr>
        <w:rFonts w:hint="default"/>
        <w:b/>
        <w:bCs w:val="0"/>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41" w15:restartNumberingAfterBreak="0">
    <w:nsid w:val="6E0E5DE5"/>
    <w:multiLevelType w:val="hybridMultilevel"/>
    <w:tmpl w:val="BD9CB71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2" w15:restartNumberingAfterBreak="0">
    <w:nsid w:val="6E810A88"/>
    <w:multiLevelType w:val="hybridMultilevel"/>
    <w:tmpl w:val="505681C2"/>
    <w:lvl w:ilvl="0" w:tplc="0C3223DE">
      <w:start w:val="1"/>
      <w:numFmt w:val="decimal"/>
      <w:lvlText w:val="[%1]"/>
      <w:lvlJc w:val="left"/>
      <w:pPr>
        <w:ind w:left="720" w:hanging="360"/>
      </w:pPr>
      <w:rPr>
        <w:rFonts w:hint="default"/>
        <w:b w:val="0"/>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9452F14"/>
    <w:multiLevelType w:val="hybridMultilevel"/>
    <w:tmpl w:val="6B68F060"/>
    <w:lvl w:ilvl="0" w:tplc="E25C9FC2">
      <w:start w:val="2025"/>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F536355"/>
    <w:multiLevelType w:val="multilevel"/>
    <w:tmpl w:val="0000000C"/>
    <w:numStyleLink w:val="StileStrutturaLatinoArialGrassettoNeroSinistro0cm"/>
  </w:abstractNum>
  <w:num w:numId="1" w16cid:durableId="921991083">
    <w:abstractNumId w:val="29"/>
  </w:num>
  <w:num w:numId="2" w16cid:durableId="537397144">
    <w:abstractNumId w:val="33"/>
  </w:num>
  <w:num w:numId="3" w16cid:durableId="2089761966">
    <w:abstractNumId w:val="18"/>
  </w:num>
  <w:num w:numId="4" w16cid:durableId="1219970957">
    <w:abstractNumId w:val="44"/>
    <w:lvlOverride w:ilvl="0">
      <w:lvl w:ilvl="0">
        <w:numFmt w:val="decimal"/>
        <w:lvlText w:val=""/>
        <w:lvlJc w:val="left"/>
      </w:lvl>
    </w:lvlOverride>
    <w:lvlOverride w:ilvl="1">
      <w:lvl w:ilvl="1">
        <w:numFmt w:val="decimal"/>
        <w:lvlText w:val=""/>
        <w:lvlJc w:val="left"/>
      </w:lvl>
    </w:lvlOverride>
    <w:lvlOverride w:ilvl="2">
      <w:lvl w:ilvl="2">
        <w:start w:val="1"/>
        <w:numFmt w:val="decimal"/>
        <w:pStyle w:val="Paragrafoelenco"/>
        <w:lvlText w:val="%1.%2.%3"/>
        <w:lvlJc w:val="left"/>
        <w:pPr>
          <w:tabs>
            <w:tab w:val="num" w:pos="0"/>
          </w:tabs>
          <w:ind w:left="720" w:hanging="720"/>
        </w:pPr>
        <w:rPr>
          <w:b/>
        </w:rPr>
      </w:lvl>
    </w:lvlOverride>
  </w:num>
  <w:num w:numId="5" w16cid:durableId="1797603051">
    <w:abstractNumId w:val="40"/>
  </w:num>
  <w:num w:numId="6" w16cid:durableId="955253369">
    <w:abstractNumId w:val="42"/>
  </w:num>
  <w:num w:numId="7" w16cid:durableId="71006372">
    <w:abstractNumId w:val="30"/>
  </w:num>
  <w:num w:numId="8" w16cid:durableId="2078435749">
    <w:abstractNumId w:val="22"/>
  </w:num>
  <w:num w:numId="9" w16cid:durableId="295651056">
    <w:abstractNumId w:val="24"/>
  </w:num>
  <w:num w:numId="10" w16cid:durableId="168058822">
    <w:abstractNumId w:val="21"/>
  </w:num>
  <w:num w:numId="11" w16cid:durableId="178203353">
    <w:abstractNumId w:val="14"/>
  </w:num>
  <w:num w:numId="12" w16cid:durableId="641541056">
    <w:abstractNumId w:val="26"/>
  </w:num>
  <w:num w:numId="13" w16cid:durableId="2090812858">
    <w:abstractNumId w:val="35"/>
  </w:num>
  <w:num w:numId="14" w16cid:durableId="1042293199">
    <w:abstractNumId w:val="38"/>
  </w:num>
  <w:num w:numId="15" w16cid:durableId="3158845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0505289">
    <w:abstractNumId w:val="28"/>
  </w:num>
  <w:num w:numId="17" w16cid:durableId="1238443224">
    <w:abstractNumId w:val="20"/>
  </w:num>
  <w:num w:numId="18" w16cid:durableId="698356104">
    <w:abstractNumId w:val="31"/>
  </w:num>
  <w:num w:numId="19" w16cid:durableId="955478683">
    <w:abstractNumId w:val="43"/>
  </w:num>
  <w:num w:numId="20" w16cid:durableId="1885436568">
    <w:abstractNumId w:val="19"/>
  </w:num>
  <w:num w:numId="21" w16cid:durableId="497305196">
    <w:abstractNumId w:val="41"/>
  </w:num>
  <w:num w:numId="22" w16cid:durableId="1948847499">
    <w:abstractNumId w:val="32"/>
  </w:num>
  <w:num w:numId="23" w16cid:durableId="1821001129">
    <w:abstractNumId w:val="36"/>
  </w:num>
  <w:num w:numId="24" w16cid:durableId="1263418993">
    <w:abstractNumId w:val="23"/>
  </w:num>
  <w:num w:numId="25" w16cid:durableId="1155146032">
    <w:abstractNumId w:val="17"/>
  </w:num>
  <w:num w:numId="26" w16cid:durableId="1342123950">
    <w:abstractNumId w:val="16"/>
  </w:num>
  <w:num w:numId="27" w16cid:durableId="228662170">
    <w:abstractNumId w:val="15"/>
  </w:num>
  <w:num w:numId="28" w16cid:durableId="1186938371">
    <w:abstractNumId w:val="34"/>
  </w:num>
  <w:num w:numId="29" w16cid:durableId="1269700227">
    <w:abstractNumId w:val="39"/>
  </w:num>
  <w:num w:numId="30" w16cid:durableId="1369142834">
    <w:abstractNumId w:val="27"/>
  </w:num>
  <w:num w:numId="31" w16cid:durableId="322704600">
    <w:abstractNumId w:val="37"/>
  </w:num>
  <w:num w:numId="32" w16cid:durableId="1934512041">
    <w:abstractNumId w:val="13"/>
  </w:num>
  <w:num w:numId="33" w16cid:durableId="1776366823">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oNotTrackFormatting/>
  <w:defaultTabStop w:val="794"/>
  <w:hyphenationZone w:val="283"/>
  <w:defaultTableStyle w:val="Normale"/>
  <w:evenAndOddHeaders/>
  <w:drawingGridHorizontalSpacing w:val="110"/>
  <w:drawingGridVerticalSpacing w:val="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70"/>
    <w:rsid w:val="00000659"/>
    <w:rsid w:val="00003835"/>
    <w:rsid w:val="00004ECA"/>
    <w:rsid w:val="0000510A"/>
    <w:rsid w:val="0000542A"/>
    <w:rsid w:val="00005563"/>
    <w:rsid w:val="00005C2C"/>
    <w:rsid w:val="00006B75"/>
    <w:rsid w:val="00007F1B"/>
    <w:rsid w:val="00010B62"/>
    <w:rsid w:val="00010C58"/>
    <w:rsid w:val="0001124D"/>
    <w:rsid w:val="00011C7A"/>
    <w:rsid w:val="00012715"/>
    <w:rsid w:val="00015593"/>
    <w:rsid w:val="00021646"/>
    <w:rsid w:val="00021F60"/>
    <w:rsid w:val="000223F6"/>
    <w:rsid w:val="00022D34"/>
    <w:rsid w:val="00024D5F"/>
    <w:rsid w:val="000259C5"/>
    <w:rsid w:val="00025B5D"/>
    <w:rsid w:val="00025F4D"/>
    <w:rsid w:val="00027285"/>
    <w:rsid w:val="00027C3B"/>
    <w:rsid w:val="0003128D"/>
    <w:rsid w:val="00031628"/>
    <w:rsid w:val="000331FA"/>
    <w:rsid w:val="000332B4"/>
    <w:rsid w:val="000332D2"/>
    <w:rsid w:val="00033CC2"/>
    <w:rsid w:val="00034655"/>
    <w:rsid w:val="0003497F"/>
    <w:rsid w:val="00035EB1"/>
    <w:rsid w:val="00036DFD"/>
    <w:rsid w:val="00041363"/>
    <w:rsid w:val="00041895"/>
    <w:rsid w:val="00042262"/>
    <w:rsid w:val="00043E0E"/>
    <w:rsid w:val="000453F2"/>
    <w:rsid w:val="00045E18"/>
    <w:rsid w:val="00045ECF"/>
    <w:rsid w:val="000464CC"/>
    <w:rsid w:val="00046542"/>
    <w:rsid w:val="0004734D"/>
    <w:rsid w:val="00051177"/>
    <w:rsid w:val="0005253F"/>
    <w:rsid w:val="00052DC9"/>
    <w:rsid w:val="0005308E"/>
    <w:rsid w:val="00054EF1"/>
    <w:rsid w:val="00055023"/>
    <w:rsid w:val="00055A86"/>
    <w:rsid w:val="00056191"/>
    <w:rsid w:val="0005635A"/>
    <w:rsid w:val="000604E5"/>
    <w:rsid w:val="00061AD4"/>
    <w:rsid w:val="000621BA"/>
    <w:rsid w:val="0006483A"/>
    <w:rsid w:val="000658E4"/>
    <w:rsid w:val="00065BF3"/>
    <w:rsid w:val="00066264"/>
    <w:rsid w:val="000665DC"/>
    <w:rsid w:val="0006687E"/>
    <w:rsid w:val="00066BAB"/>
    <w:rsid w:val="00066DB4"/>
    <w:rsid w:val="00067491"/>
    <w:rsid w:val="00067F4B"/>
    <w:rsid w:val="000709A5"/>
    <w:rsid w:val="00071A9D"/>
    <w:rsid w:val="00071B12"/>
    <w:rsid w:val="00072288"/>
    <w:rsid w:val="00073809"/>
    <w:rsid w:val="000738E3"/>
    <w:rsid w:val="00073EF0"/>
    <w:rsid w:val="000750BB"/>
    <w:rsid w:val="00075377"/>
    <w:rsid w:val="000757D9"/>
    <w:rsid w:val="00080848"/>
    <w:rsid w:val="000821F8"/>
    <w:rsid w:val="000826E2"/>
    <w:rsid w:val="00082F56"/>
    <w:rsid w:val="00082FFA"/>
    <w:rsid w:val="000836A2"/>
    <w:rsid w:val="00084850"/>
    <w:rsid w:val="000865A2"/>
    <w:rsid w:val="00087704"/>
    <w:rsid w:val="00087C10"/>
    <w:rsid w:val="000904B2"/>
    <w:rsid w:val="0009274A"/>
    <w:rsid w:val="00093281"/>
    <w:rsid w:val="00094FA2"/>
    <w:rsid w:val="00095A65"/>
    <w:rsid w:val="000962FA"/>
    <w:rsid w:val="000967C8"/>
    <w:rsid w:val="000968DE"/>
    <w:rsid w:val="000972CD"/>
    <w:rsid w:val="0009750F"/>
    <w:rsid w:val="000A13D6"/>
    <w:rsid w:val="000A1A48"/>
    <w:rsid w:val="000A2C23"/>
    <w:rsid w:val="000A2F36"/>
    <w:rsid w:val="000A4E21"/>
    <w:rsid w:val="000A4EC1"/>
    <w:rsid w:val="000A5922"/>
    <w:rsid w:val="000A6D0C"/>
    <w:rsid w:val="000B1367"/>
    <w:rsid w:val="000B1F52"/>
    <w:rsid w:val="000B3F43"/>
    <w:rsid w:val="000B4185"/>
    <w:rsid w:val="000B440F"/>
    <w:rsid w:val="000B4502"/>
    <w:rsid w:val="000B4CE6"/>
    <w:rsid w:val="000B519A"/>
    <w:rsid w:val="000B51B8"/>
    <w:rsid w:val="000B5AC4"/>
    <w:rsid w:val="000B5D86"/>
    <w:rsid w:val="000B6698"/>
    <w:rsid w:val="000B6A57"/>
    <w:rsid w:val="000B7674"/>
    <w:rsid w:val="000C1AF6"/>
    <w:rsid w:val="000C28B8"/>
    <w:rsid w:val="000C309A"/>
    <w:rsid w:val="000C4BAD"/>
    <w:rsid w:val="000C53EB"/>
    <w:rsid w:val="000C5583"/>
    <w:rsid w:val="000C5969"/>
    <w:rsid w:val="000C64A4"/>
    <w:rsid w:val="000C7E49"/>
    <w:rsid w:val="000D25D5"/>
    <w:rsid w:val="000D4828"/>
    <w:rsid w:val="000D6427"/>
    <w:rsid w:val="000D7BAF"/>
    <w:rsid w:val="000E15E9"/>
    <w:rsid w:val="000E1A41"/>
    <w:rsid w:val="000E27E8"/>
    <w:rsid w:val="000E2C13"/>
    <w:rsid w:val="000E4051"/>
    <w:rsid w:val="000E46EA"/>
    <w:rsid w:val="000E483A"/>
    <w:rsid w:val="000E5590"/>
    <w:rsid w:val="000E58C5"/>
    <w:rsid w:val="000E5F65"/>
    <w:rsid w:val="000E6D95"/>
    <w:rsid w:val="000E79FD"/>
    <w:rsid w:val="000E7F5F"/>
    <w:rsid w:val="000F0762"/>
    <w:rsid w:val="000F0819"/>
    <w:rsid w:val="000F10F1"/>
    <w:rsid w:val="000F1522"/>
    <w:rsid w:val="000F1F60"/>
    <w:rsid w:val="000F2B3C"/>
    <w:rsid w:val="000F394F"/>
    <w:rsid w:val="000F3DD9"/>
    <w:rsid w:val="000F47CF"/>
    <w:rsid w:val="000F5986"/>
    <w:rsid w:val="000F5C7E"/>
    <w:rsid w:val="000F66FE"/>
    <w:rsid w:val="000F6FAF"/>
    <w:rsid w:val="00103F7A"/>
    <w:rsid w:val="001058C9"/>
    <w:rsid w:val="00107F6C"/>
    <w:rsid w:val="0011004D"/>
    <w:rsid w:val="00110FF5"/>
    <w:rsid w:val="0011139F"/>
    <w:rsid w:val="00113A82"/>
    <w:rsid w:val="00113CDF"/>
    <w:rsid w:val="00114F75"/>
    <w:rsid w:val="00115621"/>
    <w:rsid w:val="00115630"/>
    <w:rsid w:val="001165C3"/>
    <w:rsid w:val="001210B1"/>
    <w:rsid w:val="001221B8"/>
    <w:rsid w:val="00122A52"/>
    <w:rsid w:val="00122B56"/>
    <w:rsid w:val="00122DC1"/>
    <w:rsid w:val="00123FE3"/>
    <w:rsid w:val="001243E6"/>
    <w:rsid w:val="0012495F"/>
    <w:rsid w:val="00125C70"/>
    <w:rsid w:val="00125DB6"/>
    <w:rsid w:val="001309F0"/>
    <w:rsid w:val="00130FE6"/>
    <w:rsid w:val="001311B5"/>
    <w:rsid w:val="00132564"/>
    <w:rsid w:val="0013358C"/>
    <w:rsid w:val="00134236"/>
    <w:rsid w:val="00134CF6"/>
    <w:rsid w:val="0013523D"/>
    <w:rsid w:val="00135749"/>
    <w:rsid w:val="00136223"/>
    <w:rsid w:val="001368C1"/>
    <w:rsid w:val="001379A2"/>
    <w:rsid w:val="00141997"/>
    <w:rsid w:val="00141A27"/>
    <w:rsid w:val="0014279E"/>
    <w:rsid w:val="00143244"/>
    <w:rsid w:val="001434E6"/>
    <w:rsid w:val="0014350A"/>
    <w:rsid w:val="00143EF9"/>
    <w:rsid w:val="00144457"/>
    <w:rsid w:val="00144CB0"/>
    <w:rsid w:val="00146972"/>
    <w:rsid w:val="00146DA7"/>
    <w:rsid w:val="00146E56"/>
    <w:rsid w:val="001470B8"/>
    <w:rsid w:val="001470C2"/>
    <w:rsid w:val="001477C0"/>
    <w:rsid w:val="0015009C"/>
    <w:rsid w:val="00151064"/>
    <w:rsid w:val="0015156B"/>
    <w:rsid w:val="00155E54"/>
    <w:rsid w:val="0015770D"/>
    <w:rsid w:val="00160B6F"/>
    <w:rsid w:val="00160E97"/>
    <w:rsid w:val="001616D0"/>
    <w:rsid w:val="001630CD"/>
    <w:rsid w:val="001636F7"/>
    <w:rsid w:val="00163A0F"/>
    <w:rsid w:val="001646BD"/>
    <w:rsid w:val="001647FE"/>
    <w:rsid w:val="00166842"/>
    <w:rsid w:val="001675C3"/>
    <w:rsid w:val="00167948"/>
    <w:rsid w:val="00167AC5"/>
    <w:rsid w:val="00170097"/>
    <w:rsid w:val="00174466"/>
    <w:rsid w:val="00175832"/>
    <w:rsid w:val="00175F59"/>
    <w:rsid w:val="00177D42"/>
    <w:rsid w:val="00180D82"/>
    <w:rsid w:val="00181642"/>
    <w:rsid w:val="00181A9D"/>
    <w:rsid w:val="00181F09"/>
    <w:rsid w:val="0018236E"/>
    <w:rsid w:val="00182961"/>
    <w:rsid w:val="001834FF"/>
    <w:rsid w:val="001839E7"/>
    <w:rsid w:val="00183E70"/>
    <w:rsid w:val="00185034"/>
    <w:rsid w:val="0018561C"/>
    <w:rsid w:val="00187BEE"/>
    <w:rsid w:val="00187EC4"/>
    <w:rsid w:val="0019096A"/>
    <w:rsid w:val="001909CE"/>
    <w:rsid w:val="0019120D"/>
    <w:rsid w:val="001912DD"/>
    <w:rsid w:val="00191C56"/>
    <w:rsid w:val="00192B5E"/>
    <w:rsid w:val="0019438D"/>
    <w:rsid w:val="00194BB7"/>
    <w:rsid w:val="00195480"/>
    <w:rsid w:val="00195931"/>
    <w:rsid w:val="0019663E"/>
    <w:rsid w:val="00196FF0"/>
    <w:rsid w:val="001973CA"/>
    <w:rsid w:val="00197F58"/>
    <w:rsid w:val="001A0B30"/>
    <w:rsid w:val="001A24E6"/>
    <w:rsid w:val="001A2B1C"/>
    <w:rsid w:val="001A343C"/>
    <w:rsid w:val="001A3A63"/>
    <w:rsid w:val="001A40EA"/>
    <w:rsid w:val="001A518B"/>
    <w:rsid w:val="001A5448"/>
    <w:rsid w:val="001A5DB7"/>
    <w:rsid w:val="001A606F"/>
    <w:rsid w:val="001B00C5"/>
    <w:rsid w:val="001B070F"/>
    <w:rsid w:val="001B077E"/>
    <w:rsid w:val="001B0EA0"/>
    <w:rsid w:val="001B29ED"/>
    <w:rsid w:val="001B2C6A"/>
    <w:rsid w:val="001B2EE5"/>
    <w:rsid w:val="001B3E77"/>
    <w:rsid w:val="001B59B0"/>
    <w:rsid w:val="001B690C"/>
    <w:rsid w:val="001B7540"/>
    <w:rsid w:val="001C0C20"/>
    <w:rsid w:val="001C1424"/>
    <w:rsid w:val="001C1D32"/>
    <w:rsid w:val="001C21FE"/>
    <w:rsid w:val="001C31B1"/>
    <w:rsid w:val="001C3E42"/>
    <w:rsid w:val="001C4A3D"/>
    <w:rsid w:val="001C580F"/>
    <w:rsid w:val="001C5CEE"/>
    <w:rsid w:val="001C6FC2"/>
    <w:rsid w:val="001C7947"/>
    <w:rsid w:val="001D2399"/>
    <w:rsid w:val="001D2CFD"/>
    <w:rsid w:val="001D2F4E"/>
    <w:rsid w:val="001D34D9"/>
    <w:rsid w:val="001D39CB"/>
    <w:rsid w:val="001D3A27"/>
    <w:rsid w:val="001D4440"/>
    <w:rsid w:val="001D47DE"/>
    <w:rsid w:val="001D4EAA"/>
    <w:rsid w:val="001D52B3"/>
    <w:rsid w:val="001D6959"/>
    <w:rsid w:val="001D7C0C"/>
    <w:rsid w:val="001D7E11"/>
    <w:rsid w:val="001E0053"/>
    <w:rsid w:val="001E1B49"/>
    <w:rsid w:val="001E1FD4"/>
    <w:rsid w:val="001E24DE"/>
    <w:rsid w:val="001E271C"/>
    <w:rsid w:val="001E354A"/>
    <w:rsid w:val="001E45B4"/>
    <w:rsid w:val="001E5B0D"/>
    <w:rsid w:val="001E5B96"/>
    <w:rsid w:val="001F12C3"/>
    <w:rsid w:val="001F31AC"/>
    <w:rsid w:val="001F525A"/>
    <w:rsid w:val="001F5AA0"/>
    <w:rsid w:val="001F65DB"/>
    <w:rsid w:val="001F68AB"/>
    <w:rsid w:val="001F73FC"/>
    <w:rsid w:val="002018BC"/>
    <w:rsid w:val="00202455"/>
    <w:rsid w:val="002030FE"/>
    <w:rsid w:val="00203597"/>
    <w:rsid w:val="00203904"/>
    <w:rsid w:val="0020475B"/>
    <w:rsid w:val="002052B7"/>
    <w:rsid w:val="0020684F"/>
    <w:rsid w:val="00206D03"/>
    <w:rsid w:val="00206F6C"/>
    <w:rsid w:val="00211ECE"/>
    <w:rsid w:val="00213166"/>
    <w:rsid w:val="00214496"/>
    <w:rsid w:val="002163A2"/>
    <w:rsid w:val="00216B2B"/>
    <w:rsid w:val="002177A8"/>
    <w:rsid w:val="002201F5"/>
    <w:rsid w:val="0022060D"/>
    <w:rsid w:val="002227DE"/>
    <w:rsid w:val="00223634"/>
    <w:rsid w:val="00223F1B"/>
    <w:rsid w:val="002244EE"/>
    <w:rsid w:val="002249F6"/>
    <w:rsid w:val="00224C2A"/>
    <w:rsid w:val="00226198"/>
    <w:rsid w:val="0022759E"/>
    <w:rsid w:val="00232416"/>
    <w:rsid w:val="00232C07"/>
    <w:rsid w:val="00233955"/>
    <w:rsid w:val="00234E69"/>
    <w:rsid w:val="002356D3"/>
    <w:rsid w:val="002364B8"/>
    <w:rsid w:val="00236AC2"/>
    <w:rsid w:val="002378B2"/>
    <w:rsid w:val="002400DE"/>
    <w:rsid w:val="0024107B"/>
    <w:rsid w:val="0024114E"/>
    <w:rsid w:val="002414F0"/>
    <w:rsid w:val="00242110"/>
    <w:rsid w:val="00243467"/>
    <w:rsid w:val="00244097"/>
    <w:rsid w:val="002448EA"/>
    <w:rsid w:val="00247114"/>
    <w:rsid w:val="00247681"/>
    <w:rsid w:val="00251E35"/>
    <w:rsid w:val="002523A5"/>
    <w:rsid w:val="00252616"/>
    <w:rsid w:val="0025283C"/>
    <w:rsid w:val="00255017"/>
    <w:rsid w:val="0025559C"/>
    <w:rsid w:val="00257918"/>
    <w:rsid w:val="00257FDE"/>
    <w:rsid w:val="00261565"/>
    <w:rsid w:val="002626A7"/>
    <w:rsid w:val="00262F99"/>
    <w:rsid w:val="0026365E"/>
    <w:rsid w:val="00263E19"/>
    <w:rsid w:val="00264441"/>
    <w:rsid w:val="002644FE"/>
    <w:rsid w:val="00264F75"/>
    <w:rsid w:val="00265401"/>
    <w:rsid w:val="002666AC"/>
    <w:rsid w:val="00266CC4"/>
    <w:rsid w:val="00267633"/>
    <w:rsid w:val="00270795"/>
    <w:rsid w:val="00271EA9"/>
    <w:rsid w:val="0027221D"/>
    <w:rsid w:val="00273C63"/>
    <w:rsid w:val="00273E4C"/>
    <w:rsid w:val="002747D7"/>
    <w:rsid w:val="00274A19"/>
    <w:rsid w:val="002750A2"/>
    <w:rsid w:val="00275E41"/>
    <w:rsid w:val="00275ECD"/>
    <w:rsid w:val="00276035"/>
    <w:rsid w:val="00276165"/>
    <w:rsid w:val="002766E5"/>
    <w:rsid w:val="0028051A"/>
    <w:rsid w:val="002805B1"/>
    <w:rsid w:val="002807AB"/>
    <w:rsid w:val="00280825"/>
    <w:rsid w:val="00280B4B"/>
    <w:rsid w:val="002816E6"/>
    <w:rsid w:val="00281B4E"/>
    <w:rsid w:val="00282366"/>
    <w:rsid w:val="00282453"/>
    <w:rsid w:val="00282FB6"/>
    <w:rsid w:val="00284142"/>
    <w:rsid w:val="002846AD"/>
    <w:rsid w:val="00284C92"/>
    <w:rsid w:val="00285452"/>
    <w:rsid w:val="0028561A"/>
    <w:rsid w:val="00286441"/>
    <w:rsid w:val="002907AF"/>
    <w:rsid w:val="0029247E"/>
    <w:rsid w:val="00292863"/>
    <w:rsid w:val="00293275"/>
    <w:rsid w:val="00294482"/>
    <w:rsid w:val="00294F85"/>
    <w:rsid w:val="00295B87"/>
    <w:rsid w:val="0029634C"/>
    <w:rsid w:val="00296B92"/>
    <w:rsid w:val="002972F3"/>
    <w:rsid w:val="002A13DE"/>
    <w:rsid w:val="002A1D43"/>
    <w:rsid w:val="002A1E87"/>
    <w:rsid w:val="002A4952"/>
    <w:rsid w:val="002A49F7"/>
    <w:rsid w:val="002A4E35"/>
    <w:rsid w:val="002A5359"/>
    <w:rsid w:val="002A5996"/>
    <w:rsid w:val="002A5DB7"/>
    <w:rsid w:val="002A7914"/>
    <w:rsid w:val="002B005C"/>
    <w:rsid w:val="002B12BD"/>
    <w:rsid w:val="002B2109"/>
    <w:rsid w:val="002B28BE"/>
    <w:rsid w:val="002B30DF"/>
    <w:rsid w:val="002B3958"/>
    <w:rsid w:val="002B4094"/>
    <w:rsid w:val="002B47B1"/>
    <w:rsid w:val="002B4C0A"/>
    <w:rsid w:val="002B5268"/>
    <w:rsid w:val="002B7C34"/>
    <w:rsid w:val="002C09C6"/>
    <w:rsid w:val="002C36C0"/>
    <w:rsid w:val="002C456A"/>
    <w:rsid w:val="002C53AD"/>
    <w:rsid w:val="002C54DE"/>
    <w:rsid w:val="002C6598"/>
    <w:rsid w:val="002C668D"/>
    <w:rsid w:val="002C674D"/>
    <w:rsid w:val="002C7841"/>
    <w:rsid w:val="002C7B17"/>
    <w:rsid w:val="002C7B28"/>
    <w:rsid w:val="002C7F1F"/>
    <w:rsid w:val="002D1EFA"/>
    <w:rsid w:val="002D2053"/>
    <w:rsid w:val="002D2187"/>
    <w:rsid w:val="002D2ABE"/>
    <w:rsid w:val="002D39F0"/>
    <w:rsid w:val="002D479F"/>
    <w:rsid w:val="002D4866"/>
    <w:rsid w:val="002D5C31"/>
    <w:rsid w:val="002D6ECF"/>
    <w:rsid w:val="002D741F"/>
    <w:rsid w:val="002D7D7E"/>
    <w:rsid w:val="002D7FCD"/>
    <w:rsid w:val="002E0D87"/>
    <w:rsid w:val="002E0E08"/>
    <w:rsid w:val="002E366A"/>
    <w:rsid w:val="002E580D"/>
    <w:rsid w:val="002F11F5"/>
    <w:rsid w:val="002F1D3B"/>
    <w:rsid w:val="002F2DF0"/>
    <w:rsid w:val="002F3935"/>
    <w:rsid w:val="002F3F01"/>
    <w:rsid w:val="002F4B4A"/>
    <w:rsid w:val="002F53D5"/>
    <w:rsid w:val="002F5F91"/>
    <w:rsid w:val="002F7081"/>
    <w:rsid w:val="002F7928"/>
    <w:rsid w:val="0030017E"/>
    <w:rsid w:val="00301328"/>
    <w:rsid w:val="003014C3"/>
    <w:rsid w:val="00301624"/>
    <w:rsid w:val="00302AA4"/>
    <w:rsid w:val="003033C2"/>
    <w:rsid w:val="00303A3B"/>
    <w:rsid w:val="00304BBA"/>
    <w:rsid w:val="00305537"/>
    <w:rsid w:val="00305839"/>
    <w:rsid w:val="00305BB1"/>
    <w:rsid w:val="0030639C"/>
    <w:rsid w:val="00307746"/>
    <w:rsid w:val="00307D7D"/>
    <w:rsid w:val="003100FD"/>
    <w:rsid w:val="00310213"/>
    <w:rsid w:val="00310E31"/>
    <w:rsid w:val="00311704"/>
    <w:rsid w:val="003128ED"/>
    <w:rsid w:val="003131C7"/>
    <w:rsid w:val="00313D6B"/>
    <w:rsid w:val="00313E3E"/>
    <w:rsid w:val="00314166"/>
    <w:rsid w:val="00314B4D"/>
    <w:rsid w:val="00317366"/>
    <w:rsid w:val="00324087"/>
    <w:rsid w:val="00327346"/>
    <w:rsid w:val="003308F5"/>
    <w:rsid w:val="00330E28"/>
    <w:rsid w:val="00334319"/>
    <w:rsid w:val="003345B6"/>
    <w:rsid w:val="00335736"/>
    <w:rsid w:val="003358C8"/>
    <w:rsid w:val="003365ED"/>
    <w:rsid w:val="003366CD"/>
    <w:rsid w:val="00337667"/>
    <w:rsid w:val="003402A7"/>
    <w:rsid w:val="0034265C"/>
    <w:rsid w:val="0034492D"/>
    <w:rsid w:val="003462E9"/>
    <w:rsid w:val="0034641D"/>
    <w:rsid w:val="003475AC"/>
    <w:rsid w:val="003506B4"/>
    <w:rsid w:val="003517DF"/>
    <w:rsid w:val="0035259C"/>
    <w:rsid w:val="003526D3"/>
    <w:rsid w:val="00352D6F"/>
    <w:rsid w:val="00353413"/>
    <w:rsid w:val="00354B88"/>
    <w:rsid w:val="00355D54"/>
    <w:rsid w:val="00356200"/>
    <w:rsid w:val="0035620B"/>
    <w:rsid w:val="00356FDD"/>
    <w:rsid w:val="0035715A"/>
    <w:rsid w:val="003623B2"/>
    <w:rsid w:val="00362C67"/>
    <w:rsid w:val="00362CCD"/>
    <w:rsid w:val="00363BEC"/>
    <w:rsid w:val="00363C8E"/>
    <w:rsid w:val="00364AF8"/>
    <w:rsid w:val="00364B1E"/>
    <w:rsid w:val="00366CB3"/>
    <w:rsid w:val="00366E35"/>
    <w:rsid w:val="00367F33"/>
    <w:rsid w:val="003718FB"/>
    <w:rsid w:val="003719C2"/>
    <w:rsid w:val="003747A4"/>
    <w:rsid w:val="00374BBA"/>
    <w:rsid w:val="00375147"/>
    <w:rsid w:val="003753BC"/>
    <w:rsid w:val="003753F1"/>
    <w:rsid w:val="00375C13"/>
    <w:rsid w:val="00375FA3"/>
    <w:rsid w:val="00377C01"/>
    <w:rsid w:val="003806F8"/>
    <w:rsid w:val="00381151"/>
    <w:rsid w:val="00381B38"/>
    <w:rsid w:val="00383166"/>
    <w:rsid w:val="00383B43"/>
    <w:rsid w:val="00385408"/>
    <w:rsid w:val="003854EC"/>
    <w:rsid w:val="00386C49"/>
    <w:rsid w:val="00386E4A"/>
    <w:rsid w:val="0038723C"/>
    <w:rsid w:val="00387461"/>
    <w:rsid w:val="00387A51"/>
    <w:rsid w:val="00387EE9"/>
    <w:rsid w:val="003906E6"/>
    <w:rsid w:val="00390EBF"/>
    <w:rsid w:val="0039135B"/>
    <w:rsid w:val="003916CF"/>
    <w:rsid w:val="00391905"/>
    <w:rsid w:val="00391F69"/>
    <w:rsid w:val="0039251E"/>
    <w:rsid w:val="0039319F"/>
    <w:rsid w:val="00393518"/>
    <w:rsid w:val="00393E0A"/>
    <w:rsid w:val="003943C6"/>
    <w:rsid w:val="003945F6"/>
    <w:rsid w:val="003967FE"/>
    <w:rsid w:val="00396CB5"/>
    <w:rsid w:val="00397425"/>
    <w:rsid w:val="003977D5"/>
    <w:rsid w:val="00397DCB"/>
    <w:rsid w:val="003A0317"/>
    <w:rsid w:val="003A0D17"/>
    <w:rsid w:val="003A3371"/>
    <w:rsid w:val="003A3808"/>
    <w:rsid w:val="003A3905"/>
    <w:rsid w:val="003A3F40"/>
    <w:rsid w:val="003A43D9"/>
    <w:rsid w:val="003A5A78"/>
    <w:rsid w:val="003A6E09"/>
    <w:rsid w:val="003B3631"/>
    <w:rsid w:val="003B3912"/>
    <w:rsid w:val="003B3D0C"/>
    <w:rsid w:val="003B4010"/>
    <w:rsid w:val="003B4570"/>
    <w:rsid w:val="003B4804"/>
    <w:rsid w:val="003B4BF5"/>
    <w:rsid w:val="003B4CCE"/>
    <w:rsid w:val="003B5684"/>
    <w:rsid w:val="003B5C0E"/>
    <w:rsid w:val="003B64B4"/>
    <w:rsid w:val="003B65F3"/>
    <w:rsid w:val="003B7061"/>
    <w:rsid w:val="003C2044"/>
    <w:rsid w:val="003C23C1"/>
    <w:rsid w:val="003C2551"/>
    <w:rsid w:val="003C3285"/>
    <w:rsid w:val="003C3CBE"/>
    <w:rsid w:val="003C4F80"/>
    <w:rsid w:val="003C5679"/>
    <w:rsid w:val="003C6086"/>
    <w:rsid w:val="003C6AD9"/>
    <w:rsid w:val="003C6AF5"/>
    <w:rsid w:val="003C6EB8"/>
    <w:rsid w:val="003C7E10"/>
    <w:rsid w:val="003D1245"/>
    <w:rsid w:val="003D1387"/>
    <w:rsid w:val="003D355A"/>
    <w:rsid w:val="003D3DBB"/>
    <w:rsid w:val="003D7A0E"/>
    <w:rsid w:val="003E063E"/>
    <w:rsid w:val="003E4C68"/>
    <w:rsid w:val="003E57BB"/>
    <w:rsid w:val="003E5943"/>
    <w:rsid w:val="003E6D9A"/>
    <w:rsid w:val="003F0540"/>
    <w:rsid w:val="003F1109"/>
    <w:rsid w:val="003F1D5E"/>
    <w:rsid w:val="003F1E5C"/>
    <w:rsid w:val="003F22B6"/>
    <w:rsid w:val="003F3B62"/>
    <w:rsid w:val="003F3DFD"/>
    <w:rsid w:val="003F5BB9"/>
    <w:rsid w:val="003F6F2D"/>
    <w:rsid w:val="00401A7C"/>
    <w:rsid w:val="00401ADE"/>
    <w:rsid w:val="00401F9F"/>
    <w:rsid w:val="004022C9"/>
    <w:rsid w:val="004031C0"/>
    <w:rsid w:val="004078B6"/>
    <w:rsid w:val="00407B13"/>
    <w:rsid w:val="00407B84"/>
    <w:rsid w:val="00407BFE"/>
    <w:rsid w:val="00411062"/>
    <w:rsid w:val="004119F0"/>
    <w:rsid w:val="00411C58"/>
    <w:rsid w:val="0041287E"/>
    <w:rsid w:val="00412BA4"/>
    <w:rsid w:val="00413044"/>
    <w:rsid w:val="00413FED"/>
    <w:rsid w:val="00414B01"/>
    <w:rsid w:val="0041535C"/>
    <w:rsid w:val="00415B5C"/>
    <w:rsid w:val="004167A8"/>
    <w:rsid w:val="00421C0E"/>
    <w:rsid w:val="004226F4"/>
    <w:rsid w:val="00422A07"/>
    <w:rsid w:val="00423562"/>
    <w:rsid w:val="00423B75"/>
    <w:rsid w:val="00423BA9"/>
    <w:rsid w:val="00423D47"/>
    <w:rsid w:val="004254D1"/>
    <w:rsid w:val="00425740"/>
    <w:rsid w:val="00425F27"/>
    <w:rsid w:val="00427290"/>
    <w:rsid w:val="00430CCD"/>
    <w:rsid w:val="00431012"/>
    <w:rsid w:val="00431468"/>
    <w:rsid w:val="00431828"/>
    <w:rsid w:val="004329F6"/>
    <w:rsid w:val="00432FE8"/>
    <w:rsid w:val="00433C1C"/>
    <w:rsid w:val="00433F4A"/>
    <w:rsid w:val="004343D5"/>
    <w:rsid w:val="00435234"/>
    <w:rsid w:val="00435290"/>
    <w:rsid w:val="00435817"/>
    <w:rsid w:val="004359D2"/>
    <w:rsid w:val="0043647B"/>
    <w:rsid w:val="00436877"/>
    <w:rsid w:val="00436E11"/>
    <w:rsid w:val="00440D74"/>
    <w:rsid w:val="00442061"/>
    <w:rsid w:val="0044215F"/>
    <w:rsid w:val="004427A1"/>
    <w:rsid w:val="0044295C"/>
    <w:rsid w:val="004431AA"/>
    <w:rsid w:val="00443B64"/>
    <w:rsid w:val="00446F04"/>
    <w:rsid w:val="00447E18"/>
    <w:rsid w:val="00450190"/>
    <w:rsid w:val="00453049"/>
    <w:rsid w:val="00453339"/>
    <w:rsid w:val="004546A0"/>
    <w:rsid w:val="00454928"/>
    <w:rsid w:val="00460DD5"/>
    <w:rsid w:val="00461024"/>
    <w:rsid w:val="004624EC"/>
    <w:rsid w:val="0046421E"/>
    <w:rsid w:val="004648B1"/>
    <w:rsid w:val="00465E58"/>
    <w:rsid w:val="0046678B"/>
    <w:rsid w:val="00467C5D"/>
    <w:rsid w:val="0047082A"/>
    <w:rsid w:val="00470E99"/>
    <w:rsid w:val="00471A3F"/>
    <w:rsid w:val="004724B4"/>
    <w:rsid w:val="00472E3B"/>
    <w:rsid w:val="00473621"/>
    <w:rsid w:val="00473756"/>
    <w:rsid w:val="00474749"/>
    <w:rsid w:val="00474AA4"/>
    <w:rsid w:val="00474DD9"/>
    <w:rsid w:val="00475D3C"/>
    <w:rsid w:val="0047642B"/>
    <w:rsid w:val="004803CE"/>
    <w:rsid w:val="004804A0"/>
    <w:rsid w:val="00483551"/>
    <w:rsid w:val="00483B14"/>
    <w:rsid w:val="00485368"/>
    <w:rsid w:val="00485719"/>
    <w:rsid w:val="00485EA8"/>
    <w:rsid w:val="004870EF"/>
    <w:rsid w:val="00487E64"/>
    <w:rsid w:val="00493B37"/>
    <w:rsid w:val="00493D40"/>
    <w:rsid w:val="004952EF"/>
    <w:rsid w:val="00495A29"/>
    <w:rsid w:val="00496FC1"/>
    <w:rsid w:val="00497594"/>
    <w:rsid w:val="004975F1"/>
    <w:rsid w:val="0049786B"/>
    <w:rsid w:val="00497FB8"/>
    <w:rsid w:val="004A0B7C"/>
    <w:rsid w:val="004A0D8C"/>
    <w:rsid w:val="004A119E"/>
    <w:rsid w:val="004A2163"/>
    <w:rsid w:val="004A43BF"/>
    <w:rsid w:val="004A4F77"/>
    <w:rsid w:val="004A542F"/>
    <w:rsid w:val="004A64AC"/>
    <w:rsid w:val="004B0503"/>
    <w:rsid w:val="004B0FA2"/>
    <w:rsid w:val="004B3934"/>
    <w:rsid w:val="004B48DC"/>
    <w:rsid w:val="004B518F"/>
    <w:rsid w:val="004B51F9"/>
    <w:rsid w:val="004B53FA"/>
    <w:rsid w:val="004B6080"/>
    <w:rsid w:val="004B6288"/>
    <w:rsid w:val="004B6B2E"/>
    <w:rsid w:val="004B72DD"/>
    <w:rsid w:val="004B7B3D"/>
    <w:rsid w:val="004C0731"/>
    <w:rsid w:val="004C08BC"/>
    <w:rsid w:val="004C14A8"/>
    <w:rsid w:val="004C1D65"/>
    <w:rsid w:val="004C2D96"/>
    <w:rsid w:val="004C5862"/>
    <w:rsid w:val="004C62F2"/>
    <w:rsid w:val="004C6A3B"/>
    <w:rsid w:val="004C6B0E"/>
    <w:rsid w:val="004D147A"/>
    <w:rsid w:val="004D256C"/>
    <w:rsid w:val="004D3816"/>
    <w:rsid w:val="004D553C"/>
    <w:rsid w:val="004D751F"/>
    <w:rsid w:val="004E0D4F"/>
    <w:rsid w:val="004E27F3"/>
    <w:rsid w:val="004E30F7"/>
    <w:rsid w:val="004F04F0"/>
    <w:rsid w:val="004F05AB"/>
    <w:rsid w:val="004F37E8"/>
    <w:rsid w:val="004F5342"/>
    <w:rsid w:val="004F5578"/>
    <w:rsid w:val="004F700F"/>
    <w:rsid w:val="004F7C5B"/>
    <w:rsid w:val="005007C9"/>
    <w:rsid w:val="005009C6"/>
    <w:rsid w:val="00500E74"/>
    <w:rsid w:val="00500F87"/>
    <w:rsid w:val="005012ED"/>
    <w:rsid w:val="00501577"/>
    <w:rsid w:val="00501A82"/>
    <w:rsid w:val="00501FB7"/>
    <w:rsid w:val="00504A65"/>
    <w:rsid w:val="00505122"/>
    <w:rsid w:val="00507670"/>
    <w:rsid w:val="00507893"/>
    <w:rsid w:val="00507FE5"/>
    <w:rsid w:val="005106A3"/>
    <w:rsid w:val="00512306"/>
    <w:rsid w:val="005126C3"/>
    <w:rsid w:val="00512FD8"/>
    <w:rsid w:val="00513716"/>
    <w:rsid w:val="005143C6"/>
    <w:rsid w:val="005147D1"/>
    <w:rsid w:val="00514937"/>
    <w:rsid w:val="00514AA5"/>
    <w:rsid w:val="00515484"/>
    <w:rsid w:val="005159B7"/>
    <w:rsid w:val="00515CAB"/>
    <w:rsid w:val="00515DEE"/>
    <w:rsid w:val="00516469"/>
    <w:rsid w:val="005179BC"/>
    <w:rsid w:val="00517A06"/>
    <w:rsid w:val="00520A36"/>
    <w:rsid w:val="0052171A"/>
    <w:rsid w:val="00521C23"/>
    <w:rsid w:val="0052278D"/>
    <w:rsid w:val="00524F32"/>
    <w:rsid w:val="00525679"/>
    <w:rsid w:val="00525F92"/>
    <w:rsid w:val="00526070"/>
    <w:rsid w:val="005271BE"/>
    <w:rsid w:val="005272F1"/>
    <w:rsid w:val="00530305"/>
    <w:rsid w:val="00530A3B"/>
    <w:rsid w:val="00531489"/>
    <w:rsid w:val="00532042"/>
    <w:rsid w:val="0053278B"/>
    <w:rsid w:val="00532CAE"/>
    <w:rsid w:val="00533DC8"/>
    <w:rsid w:val="0053474E"/>
    <w:rsid w:val="005351F6"/>
    <w:rsid w:val="005362EE"/>
    <w:rsid w:val="00537665"/>
    <w:rsid w:val="005412EA"/>
    <w:rsid w:val="005414C8"/>
    <w:rsid w:val="0054214B"/>
    <w:rsid w:val="00544CA3"/>
    <w:rsid w:val="005454E3"/>
    <w:rsid w:val="00545C5E"/>
    <w:rsid w:val="00545F05"/>
    <w:rsid w:val="0054748B"/>
    <w:rsid w:val="00550028"/>
    <w:rsid w:val="005501EA"/>
    <w:rsid w:val="00550838"/>
    <w:rsid w:val="0055145E"/>
    <w:rsid w:val="00551B5B"/>
    <w:rsid w:val="00552195"/>
    <w:rsid w:val="00552CF5"/>
    <w:rsid w:val="00553881"/>
    <w:rsid w:val="00553A25"/>
    <w:rsid w:val="00553B96"/>
    <w:rsid w:val="00553C5D"/>
    <w:rsid w:val="00553E8B"/>
    <w:rsid w:val="00554097"/>
    <w:rsid w:val="005541AF"/>
    <w:rsid w:val="00554E5C"/>
    <w:rsid w:val="00555EC6"/>
    <w:rsid w:val="00557057"/>
    <w:rsid w:val="00557245"/>
    <w:rsid w:val="00557DF3"/>
    <w:rsid w:val="005605FD"/>
    <w:rsid w:val="005609B7"/>
    <w:rsid w:val="00560F9B"/>
    <w:rsid w:val="0056351C"/>
    <w:rsid w:val="005640FD"/>
    <w:rsid w:val="00564A68"/>
    <w:rsid w:val="00565EC3"/>
    <w:rsid w:val="00566237"/>
    <w:rsid w:val="00570EE0"/>
    <w:rsid w:val="00571789"/>
    <w:rsid w:val="00572D04"/>
    <w:rsid w:val="00572E38"/>
    <w:rsid w:val="00572EAF"/>
    <w:rsid w:val="00573041"/>
    <w:rsid w:val="00577B1A"/>
    <w:rsid w:val="00580723"/>
    <w:rsid w:val="00580A50"/>
    <w:rsid w:val="00581940"/>
    <w:rsid w:val="00582412"/>
    <w:rsid w:val="00582A9E"/>
    <w:rsid w:val="005834FE"/>
    <w:rsid w:val="005837D9"/>
    <w:rsid w:val="00583989"/>
    <w:rsid w:val="0058413F"/>
    <w:rsid w:val="0058414A"/>
    <w:rsid w:val="005846C6"/>
    <w:rsid w:val="0058588A"/>
    <w:rsid w:val="00585CD3"/>
    <w:rsid w:val="00586C20"/>
    <w:rsid w:val="0059058C"/>
    <w:rsid w:val="00590CAC"/>
    <w:rsid w:val="00591574"/>
    <w:rsid w:val="00592A16"/>
    <w:rsid w:val="00593CC0"/>
    <w:rsid w:val="00593FCD"/>
    <w:rsid w:val="005953E0"/>
    <w:rsid w:val="005A04C6"/>
    <w:rsid w:val="005A0881"/>
    <w:rsid w:val="005A2C88"/>
    <w:rsid w:val="005A30E4"/>
    <w:rsid w:val="005A365F"/>
    <w:rsid w:val="005A42DF"/>
    <w:rsid w:val="005A47A8"/>
    <w:rsid w:val="005A47AB"/>
    <w:rsid w:val="005A4971"/>
    <w:rsid w:val="005A4F2D"/>
    <w:rsid w:val="005A5BB8"/>
    <w:rsid w:val="005A627A"/>
    <w:rsid w:val="005B0692"/>
    <w:rsid w:val="005B4AD3"/>
    <w:rsid w:val="005B4FC1"/>
    <w:rsid w:val="005B64A1"/>
    <w:rsid w:val="005B7D9E"/>
    <w:rsid w:val="005B7E62"/>
    <w:rsid w:val="005C0727"/>
    <w:rsid w:val="005C0A99"/>
    <w:rsid w:val="005C264F"/>
    <w:rsid w:val="005C69B4"/>
    <w:rsid w:val="005C6DD7"/>
    <w:rsid w:val="005C718D"/>
    <w:rsid w:val="005C7773"/>
    <w:rsid w:val="005D09E2"/>
    <w:rsid w:val="005D1065"/>
    <w:rsid w:val="005D1836"/>
    <w:rsid w:val="005D20F8"/>
    <w:rsid w:val="005D2797"/>
    <w:rsid w:val="005D4894"/>
    <w:rsid w:val="005D508A"/>
    <w:rsid w:val="005D50F5"/>
    <w:rsid w:val="005D5D14"/>
    <w:rsid w:val="005D6288"/>
    <w:rsid w:val="005E0561"/>
    <w:rsid w:val="005E1CE0"/>
    <w:rsid w:val="005E27F1"/>
    <w:rsid w:val="005E297E"/>
    <w:rsid w:val="005E31FE"/>
    <w:rsid w:val="005E493E"/>
    <w:rsid w:val="005E5711"/>
    <w:rsid w:val="005E6A10"/>
    <w:rsid w:val="005F02AD"/>
    <w:rsid w:val="005F08B7"/>
    <w:rsid w:val="005F0C1F"/>
    <w:rsid w:val="005F0D79"/>
    <w:rsid w:val="005F214A"/>
    <w:rsid w:val="005F260A"/>
    <w:rsid w:val="005F3ACA"/>
    <w:rsid w:val="005F42FB"/>
    <w:rsid w:val="005F45FD"/>
    <w:rsid w:val="005F4A90"/>
    <w:rsid w:val="005F6832"/>
    <w:rsid w:val="005F79E2"/>
    <w:rsid w:val="00600B20"/>
    <w:rsid w:val="0060222F"/>
    <w:rsid w:val="006023DB"/>
    <w:rsid w:val="0060282F"/>
    <w:rsid w:val="00603FDC"/>
    <w:rsid w:val="0060533C"/>
    <w:rsid w:val="00610F01"/>
    <w:rsid w:val="00612E24"/>
    <w:rsid w:val="00615401"/>
    <w:rsid w:val="006161A9"/>
    <w:rsid w:val="0061667E"/>
    <w:rsid w:val="0061793F"/>
    <w:rsid w:val="0062052E"/>
    <w:rsid w:val="0062130B"/>
    <w:rsid w:val="00622EEB"/>
    <w:rsid w:val="0062397C"/>
    <w:rsid w:val="0062463F"/>
    <w:rsid w:val="00624B8C"/>
    <w:rsid w:val="0062523E"/>
    <w:rsid w:val="0062673B"/>
    <w:rsid w:val="0063000D"/>
    <w:rsid w:val="006315F8"/>
    <w:rsid w:val="00631F19"/>
    <w:rsid w:val="00632306"/>
    <w:rsid w:val="00632923"/>
    <w:rsid w:val="006335BF"/>
    <w:rsid w:val="00633D56"/>
    <w:rsid w:val="00634195"/>
    <w:rsid w:val="0063442C"/>
    <w:rsid w:val="00634C2D"/>
    <w:rsid w:val="0063547B"/>
    <w:rsid w:val="006360D4"/>
    <w:rsid w:val="006361FF"/>
    <w:rsid w:val="0063646F"/>
    <w:rsid w:val="00637803"/>
    <w:rsid w:val="00637834"/>
    <w:rsid w:val="00637FC5"/>
    <w:rsid w:val="00640D6D"/>
    <w:rsid w:val="00641B0C"/>
    <w:rsid w:val="00641E1B"/>
    <w:rsid w:val="00644AE5"/>
    <w:rsid w:val="00645138"/>
    <w:rsid w:val="006463CE"/>
    <w:rsid w:val="00650381"/>
    <w:rsid w:val="006517DC"/>
    <w:rsid w:val="00652BF0"/>
    <w:rsid w:val="00652DE8"/>
    <w:rsid w:val="00654280"/>
    <w:rsid w:val="00654450"/>
    <w:rsid w:val="00654D81"/>
    <w:rsid w:val="0065638B"/>
    <w:rsid w:val="006575F5"/>
    <w:rsid w:val="00657B21"/>
    <w:rsid w:val="00660F1E"/>
    <w:rsid w:val="00661D5F"/>
    <w:rsid w:val="0066207A"/>
    <w:rsid w:val="006628B1"/>
    <w:rsid w:val="00663488"/>
    <w:rsid w:val="00663A8F"/>
    <w:rsid w:val="006648C6"/>
    <w:rsid w:val="00666395"/>
    <w:rsid w:val="00671162"/>
    <w:rsid w:val="0067122A"/>
    <w:rsid w:val="006745B1"/>
    <w:rsid w:val="00674A71"/>
    <w:rsid w:val="006750AA"/>
    <w:rsid w:val="006770E9"/>
    <w:rsid w:val="0067713F"/>
    <w:rsid w:val="00680089"/>
    <w:rsid w:val="006807EF"/>
    <w:rsid w:val="00681136"/>
    <w:rsid w:val="00682F0D"/>
    <w:rsid w:val="00683864"/>
    <w:rsid w:val="00684C01"/>
    <w:rsid w:val="00686053"/>
    <w:rsid w:val="00687187"/>
    <w:rsid w:val="00687970"/>
    <w:rsid w:val="00690574"/>
    <w:rsid w:val="006914C5"/>
    <w:rsid w:val="00692962"/>
    <w:rsid w:val="00693776"/>
    <w:rsid w:val="00693784"/>
    <w:rsid w:val="00693D30"/>
    <w:rsid w:val="0069513E"/>
    <w:rsid w:val="0069584B"/>
    <w:rsid w:val="006969E0"/>
    <w:rsid w:val="006971B9"/>
    <w:rsid w:val="00697796"/>
    <w:rsid w:val="006A031D"/>
    <w:rsid w:val="006A04D1"/>
    <w:rsid w:val="006A387F"/>
    <w:rsid w:val="006A48FF"/>
    <w:rsid w:val="006A52B5"/>
    <w:rsid w:val="006A7227"/>
    <w:rsid w:val="006A73D7"/>
    <w:rsid w:val="006A7F91"/>
    <w:rsid w:val="006B138E"/>
    <w:rsid w:val="006B1800"/>
    <w:rsid w:val="006B23FA"/>
    <w:rsid w:val="006B4097"/>
    <w:rsid w:val="006B43AD"/>
    <w:rsid w:val="006B4BD9"/>
    <w:rsid w:val="006B6105"/>
    <w:rsid w:val="006B6CB5"/>
    <w:rsid w:val="006C02D9"/>
    <w:rsid w:val="006C1A0F"/>
    <w:rsid w:val="006C4A23"/>
    <w:rsid w:val="006C4B43"/>
    <w:rsid w:val="006C7220"/>
    <w:rsid w:val="006C7257"/>
    <w:rsid w:val="006D1A73"/>
    <w:rsid w:val="006D2241"/>
    <w:rsid w:val="006D297C"/>
    <w:rsid w:val="006D2FE8"/>
    <w:rsid w:val="006D3F96"/>
    <w:rsid w:val="006D4B00"/>
    <w:rsid w:val="006D6866"/>
    <w:rsid w:val="006D6A16"/>
    <w:rsid w:val="006D7968"/>
    <w:rsid w:val="006E070D"/>
    <w:rsid w:val="006E0761"/>
    <w:rsid w:val="006E0844"/>
    <w:rsid w:val="006E0EEC"/>
    <w:rsid w:val="006E140F"/>
    <w:rsid w:val="006E32BD"/>
    <w:rsid w:val="006E3786"/>
    <w:rsid w:val="006E3C39"/>
    <w:rsid w:val="006E3D53"/>
    <w:rsid w:val="006E62E9"/>
    <w:rsid w:val="006E6430"/>
    <w:rsid w:val="006E6955"/>
    <w:rsid w:val="006E6EC2"/>
    <w:rsid w:val="006E6ECC"/>
    <w:rsid w:val="006E7B5B"/>
    <w:rsid w:val="006F0566"/>
    <w:rsid w:val="006F08DF"/>
    <w:rsid w:val="006F22EE"/>
    <w:rsid w:val="006F3203"/>
    <w:rsid w:val="006F34D1"/>
    <w:rsid w:val="006F43B0"/>
    <w:rsid w:val="006F5DFB"/>
    <w:rsid w:val="006F635F"/>
    <w:rsid w:val="006F77EC"/>
    <w:rsid w:val="006F7BD5"/>
    <w:rsid w:val="00700240"/>
    <w:rsid w:val="00700E89"/>
    <w:rsid w:val="007012D4"/>
    <w:rsid w:val="007012E5"/>
    <w:rsid w:val="007012F9"/>
    <w:rsid w:val="00701791"/>
    <w:rsid w:val="00701F7F"/>
    <w:rsid w:val="007027E2"/>
    <w:rsid w:val="00702860"/>
    <w:rsid w:val="00702B01"/>
    <w:rsid w:val="00703BFF"/>
    <w:rsid w:val="007041A7"/>
    <w:rsid w:val="00704E90"/>
    <w:rsid w:val="007054E3"/>
    <w:rsid w:val="00705AC1"/>
    <w:rsid w:val="00705D83"/>
    <w:rsid w:val="00706ADD"/>
    <w:rsid w:val="00706E88"/>
    <w:rsid w:val="00711182"/>
    <w:rsid w:val="007112DB"/>
    <w:rsid w:val="007130C4"/>
    <w:rsid w:val="00713457"/>
    <w:rsid w:val="007134C8"/>
    <w:rsid w:val="00713765"/>
    <w:rsid w:val="00713B0C"/>
    <w:rsid w:val="00713CA0"/>
    <w:rsid w:val="00713DA2"/>
    <w:rsid w:val="00714CF1"/>
    <w:rsid w:val="00714D29"/>
    <w:rsid w:val="00714F5B"/>
    <w:rsid w:val="007155C8"/>
    <w:rsid w:val="0071574B"/>
    <w:rsid w:val="00720308"/>
    <w:rsid w:val="0072124E"/>
    <w:rsid w:val="007228DF"/>
    <w:rsid w:val="00723A64"/>
    <w:rsid w:val="00723D5D"/>
    <w:rsid w:val="00726CEB"/>
    <w:rsid w:val="00726CFC"/>
    <w:rsid w:val="00731572"/>
    <w:rsid w:val="00731E85"/>
    <w:rsid w:val="007325DB"/>
    <w:rsid w:val="00733852"/>
    <w:rsid w:val="00733A40"/>
    <w:rsid w:val="00734D36"/>
    <w:rsid w:val="00734D76"/>
    <w:rsid w:val="0073656A"/>
    <w:rsid w:val="007373B0"/>
    <w:rsid w:val="00737C86"/>
    <w:rsid w:val="00740D2E"/>
    <w:rsid w:val="0074272E"/>
    <w:rsid w:val="007433E5"/>
    <w:rsid w:val="00743E12"/>
    <w:rsid w:val="00743FBA"/>
    <w:rsid w:val="00743FD6"/>
    <w:rsid w:val="00744470"/>
    <w:rsid w:val="00744778"/>
    <w:rsid w:val="00745F19"/>
    <w:rsid w:val="0075030E"/>
    <w:rsid w:val="007509D6"/>
    <w:rsid w:val="0075113E"/>
    <w:rsid w:val="00751DAC"/>
    <w:rsid w:val="0075321E"/>
    <w:rsid w:val="00753B2B"/>
    <w:rsid w:val="007547ED"/>
    <w:rsid w:val="007558CC"/>
    <w:rsid w:val="00755EB4"/>
    <w:rsid w:val="0075645F"/>
    <w:rsid w:val="007566D2"/>
    <w:rsid w:val="00757A61"/>
    <w:rsid w:val="007604E2"/>
    <w:rsid w:val="00760601"/>
    <w:rsid w:val="007611C7"/>
    <w:rsid w:val="00762482"/>
    <w:rsid w:val="0076444A"/>
    <w:rsid w:val="00764A04"/>
    <w:rsid w:val="00765FB2"/>
    <w:rsid w:val="00766328"/>
    <w:rsid w:val="00766678"/>
    <w:rsid w:val="00766A7E"/>
    <w:rsid w:val="00767965"/>
    <w:rsid w:val="00770B63"/>
    <w:rsid w:val="00770E73"/>
    <w:rsid w:val="0077158C"/>
    <w:rsid w:val="0077317E"/>
    <w:rsid w:val="007732B0"/>
    <w:rsid w:val="00773FD7"/>
    <w:rsid w:val="00774AC2"/>
    <w:rsid w:val="00774FEE"/>
    <w:rsid w:val="007755E5"/>
    <w:rsid w:val="00775DC6"/>
    <w:rsid w:val="00777991"/>
    <w:rsid w:val="00780972"/>
    <w:rsid w:val="00780CE3"/>
    <w:rsid w:val="0078214D"/>
    <w:rsid w:val="00782D66"/>
    <w:rsid w:val="007831D1"/>
    <w:rsid w:val="007844F0"/>
    <w:rsid w:val="00784551"/>
    <w:rsid w:val="00784642"/>
    <w:rsid w:val="007848D0"/>
    <w:rsid w:val="007865B5"/>
    <w:rsid w:val="0078673D"/>
    <w:rsid w:val="007904C1"/>
    <w:rsid w:val="00790E51"/>
    <w:rsid w:val="00790F77"/>
    <w:rsid w:val="00791574"/>
    <w:rsid w:val="00793118"/>
    <w:rsid w:val="0079367E"/>
    <w:rsid w:val="00793D88"/>
    <w:rsid w:val="00794E07"/>
    <w:rsid w:val="007951DE"/>
    <w:rsid w:val="00795699"/>
    <w:rsid w:val="00796368"/>
    <w:rsid w:val="007977C8"/>
    <w:rsid w:val="007A01B4"/>
    <w:rsid w:val="007A115B"/>
    <w:rsid w:val="007A14FF"/>
    <w:rsid w:val="007A23D7"/>
    <w:rsid w:val="007A2C9C"/>
    <w:rsid w:val="007A5ABD"/>
    <w:rsid w:val="007B05B5"/>
    <w:rsid w:val="007B0D0D"/>
    <w:rsid w:val="007B11CF"/>
    <w:rsid w:val="007B395A"/>
    <w:rsid w:val="007B48BE"/>
    <w:rsid w:val="007B4FBC"/>
    <w:rsid w:val="007B53E0"/>
    <w:rsid w:val="007B68C1"/>
    <w:rsid w:val="007B6DAE"/>
    <w:rsid w:val="007C260E"/>
    <w:rsid w:val="007C2EC9"/>
    <w:rsid w:val="007C3BF3"/>
    <w:rsid w:val="007C3FBC"/>
    <w:rsid w:val="007C4D2A"/>
    <w:rsid w:val="007C5E4C"/>
    <w:rsid w:val="007C6083"/>
    <w:rsid w:val="007C6293"/>
    <w:rsid w:val="007C68D8"/>
    <w:rsid w:val="007C708C"/>
    <w:rsid w:val="007C7729"/>
    <w:rsid w:val="007C796F"/>
    <w:rsid w:val="007D2058"/>
    <w:rsid w:val="007D2CCF"/>
    <w:rsid w:val="007D2FBA"/>
    <w:rsid w:val="007D3368"/>
    <w:rsid w:val="007D345C"/>
    <w:rsid w:val="007D6741"/>
    <w:rsid w:val="007D6C20"/>
    <w:rsid w:val="007D6DE3"/>
    <w:rsid w:val="007D7D3E"/>
    <w:rsid w:val="007E07E8"/>
    <w:rsid w:val="007E0AEC"/>
    <w:rsid w:val="007E2439"/>
    <w:rsid w:val="007E2F4E"/>
    <w:rsid w:val="007E4FCA"/>
    <w:rsid w:val="007E73C7"/>
    <w:rsid w:val="007E7C76"/>
    <w:rsid w:val="007F088F"/>
    <w:rsid w:val="007F15F0"/>
    <w:rsid w:val="007F3B7B"/>
    <w:rsid w:val="007F3D77"/>
    <w:rsid w:val="007F3E02"/>
    <w:rsid w:val="007F7BDA"/>
    <w:rsid w:val="008021B3"/>
    <w:rsid w:val="0080424A"/>
    <w:rsid w:val="00805F8F"/>
    <w:rsid w:val="0080640E"/>
    <w:rsid w:val="00810066"/>
    <w:rsid w:val="008101E1"/>
    <w:rsid w:val="0081083A"/>
    <w:rsid w:val="00810EB7"/>
    <w:rsid w:val="00812B46"/>
    <w:rsid w:val="0081356F"/>
    <w:rsid w:val="0081460B"/>
    <w:rsid w:val="00815634"/>
    <w:rsid w:val="00816685"/>
    <w:rsid w:val="008168B8"/>
    <w:rsid w:val="00820740"/>
    <w:rsid w:val="00820956"/>
    <w:rsid w:val="00820EFD"/>
    <w:rsid w:val="008210EB"/>
    <w:rsid w:val="00821BD6"/>
    <w:rsid w:val="00821EB7"/>
    <w:rsid w:val="0082259B"/>
    <w:rsid w:val="008225AD"/>
    <w:rsid w:val="008249E1"/>
    <w:rsid w:val="00825E0C"/>
    <w:rsid w:val="00826123"/>
    <w:rsid w:val="00826F81"/>
    <w:rsid w:val="00827A44"/>
    <w:rsid w:val="00831358"/>
    <w:rsid w:val="00831784"/>
    <w:rsid w:val="00833003"/>
    <w:rsid w:val="00834221"/>
    <w:rsid w:val="008347F4"/>
    <w:rsid w:val="00834DCD"/>
    <w:rsid w:val="008351ED"/>
    <w:rsid w:val="00835ACE"/>
    <w:rsid w:val="00835DA9"/>
    <w:rsid w:val="00840246"/>
    <w:rsid w:val="00843387"/>
    <w:rsid w:val="00844F5D"/>
    <w:rsid w:val="008454C2"/>
    <w:rsid w:val="00845693"/>
    <w:rsid w:val="00845C59"/>
    <w:rsid w:val="00846E78"/>
    <w:rsid w:val="008477A6"/>
    <w:rsid w:val="008505E7"/>
    <w:rsid w:val="008514FD"/>
    <w:rsid w:val="0085198E"/>
    <w:rsid w:val="00854405"/>
    <w:rsid w:val="00856B09"/>
    <w:rsid w:val="00857627"/>
    <w:rsid w:val="008602AB"/>
    <w:rsid w:val="008614DB"/>
    <w:rsid w:val="00862E47"/>
    <w:rsid w:val="00862EB0"/>
    <w:rsid w:val="008646F9"/>
    <w:rsid w:val="00864924"/>
    <w:rsid w:val="008664D3"/>
    <w:rsid w:val="00866BF9"/>
    <w:rsid w:val="00867A3D"/>
    <w:rsid w:val="00867B07"/>
    <w:rsid w:val="00867F95"/>
    <w:rsid w:val="008710F6"/>
    <w:rsid w:val="00872672"/>
    <w:rsid w:val="008726C0"/>
    <w:rsid w:val="0087397C"/>
    <w:rsid w:val="008756D0"/>
    <w:rsid w:val="008759AB"/>
    <w:rsid w:val="0087623D"/>
    <w:rsid w:val="00876703"/>
    <w:rsid w:val="008777B1"/>
    <w:rsid w:val="0087783A"/>
    <w:rsid w:val="008809EC"/>
    <w:rsid w:val="0088142E"/>
    <w:rsid w:val="00881DA5"/>
    <w:rsid w:val="00882D65"/>
    <w:rsid w:val="0088319A"/>
    <w:rsid w:val="00883275"/>
    <w:rsid w:val="00884ABA"/>
    <w:rsid w:val="00885934"/>
    <w:rsid w:val="0088608C"/>
    <w:rsid w:val="008867CC"/>
    <w:rsid w:val="008868B7"/>
    <w:rsid w:val="00887437"/>
    <w:rsid w:val="00890475"/>
    <w:rsid w:val="0089086F"/>
    <w:rsid w:val="00892611"/>
    <w:rsid w:val="008947A4"/>
    <w:rsid w:val="008949DA"/>
    <w:rsid w:val="00894A23"/>
    <w:rsid w:val="00897192"/>
    <w:rsid w:val="00897707"/>
    <w:rsid w:val="008A2C9D"/>
    <w:rsid w:val="008A32BC"/>
    <w:rsid w:val="008A3470"/>
    <w:rsid w:val="008A3F23"/>
    <w:rsid w:val="008A4972"/>
    <w:rsid w:val="008A5D5A"/>
    <w:rsid w:val="008A5EE5"/>
    <w:rsid w:val="008A6358"/>
    <w:rsid w:val="008A6441"/>
    <w:rsid w:val="008A70D4"/>
    <w:rsid w:val="008A71F3"/>
    <w:rsid w:val="008B1B74"/>
    <w:rsid w:val="008B22BE"/>
    <w:rsid w:val="008B23D5"/>
    <w:rsid w:val="008B316E"/>
    <w:rsid w:val="008B427A"/>
    <w:rsid w:val="008B52AE"/>
    <w:rsid w:val="008C0BD8"/>
    <w:rsid w:val="008C1008"/>
    <w:rsid w:val="008C1498"/>
    <w:rsid w:val="008C4690"/>
    <w:rsid w:val="008C4A00"/>
    <w:rsid w:val="008C659A"/>
    <w:rsid w:val="008C6708"/>
    <w:rsid w:val="008C74DE"/>
    <w:rsid w:val="008C760B"/>
    <w:rsid w:val="008C7C8C"/>
    <w:rsid w:val="008C7E6B"/>
    <w:rsid w:val="008D1CEB"/>
    <w:rsid w:val="008D1DED"/>
    <w:rsid w:val="008D3043"/>
    <w:rsid w:val="008D4EE6"/>
    <w:rsid w:val="008D5BFE"/>
    <w:rsid w:val="008D6784"/>
    <w:rsid w:val="008D72B2"/>
    <w:rsid w:val="008E0001"/>
    <w:rsid w:val="008E022C"/>
    <w:rsid w:val="008E0D29"/>
    <w:rsid w:val="008E294F"/>
    <w:rsid w:val="008E2EC8"/>
    <w:rsid w:val="008E6C3E"/>
    <w:rsid w:val="008E6E90"/>
    <w:rsid w:val="008F0501"/>
    <w:rsid w:val="008F09D0"/>
    <w:rsid w:val="008F1C6F"/>
    <w:rsid w:val="008F2220"/>
    <w:rsid w:val="008F3992"/>
    <w:rsid w:val="008F3BDE"/>
    <w:rsid w:val="008F51C3"/>
    <w:rsid w:val="008F5310"/>
    <w:rsid w:val="008F53C1"/>
    <w:rsid w:val="008F6577"/>
    <w:rsid w:val="008F6A27"/>
    <w:rsid w:val="008F7516"/>
    <w:rsid w:val="009006AE"/>
    <w:rsid w:val="00900BFA"/>
    <w:rsid w:val="00902453"/>
    <w:rsid w:val="009037C5"/>
    <w:rsid w:val="009039EA"/>
    <w:rsid w:val="00903DFB"/>
    <w:rsid w:val="009042FA"/>
    <w:rsid w:val="00904784"/>
    <w:rsid w:val="009075E1"/>
    <w:rsid w:val="00910353"/>
    <w:rsid w:val="00910463"/>
    <w:rsid w:val="009124EB"/>
    <w:rsid w:val="00912565"/>
    <w:rsid w:val="00913C86"/>
    <w:rsid w:val="00914216"/>
    <w:rsid w:val="009165BF"/>
    <w:rsid w:val="0091681E"/>
    <w:rsid w:val="00916919"/>
    <w:rsid w:val="0091718F"/>
    <w:rsid w:val="009200F7"/>
    <w:rsid w:val="00920164"/>
    <w:rsid w:val="00920E48"/>
    <w:rsid w:val="00921887"/>
    <w:rsid w:val="009220B1"/>
    <w:rsid w:val="009225AD"/>
    <w:rsid w:val="00923045"/>
    <w:rsid w:val="009234A8"/>
    <w:rsid w:val="00923E1E"/>
    <w:rsid w:val="00923FCF"/>
    <w:rsid w:val="00925C65"/>
    <w:rsid w:val="00925C6C"/>
    <w:rsid w:val="00930212"/>
    <w:rsid w:val="009313E0"/>
    <w:rsid w:val="0093217D"/>
    <w:rsid w:val="00932923"/>
    <w:rsid w:val="00933472"/>
    <w:rsid w:val="00933880"/>
    <w:rsid w:val="00933FA7"/>
    <w:rsid w:val="00933FF6"/>
    <w:rsid w:val="00934D42"/>
    <w:rsid w:val="00935164"/>
    <w:rsid w:val="00936459"/>
    <w:rsid w:val="00936742"/>
    <w:rsid w:val="0093713C"/>
    <w:rsid w:val="00937974"/>
    <w:rsid w:val="0094003F"/>
    <w:rsid w:val="009423F9"/>
    <w:rsid w:val="00943D7E"/>
    <w:rsid w:val="00943E46"/>
    <w:rsid w:val="009443C8"/>
    <w:rsid w:val="00944D9E"/>
    <w:rsid w:val="00946CE3"/>
    <w:rsid w:val="00947BEA"/>
    <w:rsid w:val="00950830"/>
    <w:rsid w:val="00951850"/>
    <w:rsid w:val="009522EC"/>
    <w:rsid w:val="00952837"/>
    <w:rsid w:val="009534AF"/>
    <w:rsid w:val="00954435"/>
    <w:rsid w:val="0095592E"/>
    <w:rsid w:val="00955ECA"/>
    <w:rsid w:val="00956030"/>
    <w:rsid w:val="0096133E"/>
    <w:rsid w:val="00962579"/>
    <w:rsid w:val="009630C7"/>
    <w:rsid w:val="0096395B"/>
    <w:rsid w:val="00963CD2"/>
    <w:rsid w:val="00964431"/>
    <w:rsid w:val="00965893"/>
    <w:rsid w:val="009658D4"/>
    <w:rsid w:val="00965EA0"/>
    <w:rsid w:val="009664DC"/>
    <w:rsid w:val="0096682D"/>
    <w:rsid w:val="00966E66"/>
    <w:rsid w:val="00967635"/>
    <w:rsid w:val="00967E90"/>
    <w:rsid w:val="009703DD"/>
    <w:rsid w:val="00972B4B"/>
    <w:rsid w:val="00973F0D"/>
    <w:rsid w:val="00974BA0"/>
    <w:rsid w:val="00974C1E"/>
    <w:rsid w:val="00974FE8"/>
    <w:rsid w:val="00975344"/>
    <w:rsid w:val="00976C3B"/>
    <w:rsid w:val="0097706A"/>
    <w:rsid w:val="00977CD6"/>
    <w:rsid w:val="009815B7"/>
    <w:rsid w:val="00982D5B"/>
    <w:rsid w:val="0098348E"/>
    <w:rsid w:val="009836F4"/>
    <w:rsid w:val="0098376D"/>
    <w:rsid w:val="00984E4E"/>
    <w:rsid w:val="009918E0"/>
    <w:rsid w:val="00994416"/>
    <w:rsid w:val="00995AB0"/>
    <w:rsid w:val="00996C6E"/>
    <w:rsid w:val="0099715C"/>
    <w:rsid w:val="00997234"/>
    <w:rsid w:val="009A1184"/>
    <w:rsid w:val="009A131C"/>
    <w:rsid w:val="009A139B"/>
    <w:rsid w:val="009A2084"/>
    <w:rsid w:val="009A3A8D"/>
    <w:rsid w:val="009A3DF8"/>
    <w:rsid w:val="009A45A3"/>
    <w:rsid w:val="009A49A0"/>
    <w:rsid w:val="009A6AF2"/>
    <w:rsid w:val="009B29C0"/>
    <w:rsid w:val="009C1D20"/>
    <w:rsid w:val="009C2001"/>
    <w:rsid w:val="009C3EC0"/>
    <w:rsid w:val="009C4185"/>
    <w:rsid w:val="009C472C"/>
    <w:rsid w:val="009C4A98"/>
    <w:rsid w:val="009C4DCF"/>
    <w:rsid w:val="009C68F4"/>
    <w:rsid w:val="009C7891"/>
    <w:rsid w:val="009C7953"/>
    <w:rsid w:val="009D0540"/>
    <w:rsid w:val="009D113D"/>
    <w:rsid w:val="009D2D49"/>
    <w:rsid w:val="009D34D1"/>
    <w:rsid w:val="009D3703"/>
    <w:rsid w:val="009D57F1"/>
    <w:rsid w:val="009D7453"/>
    <w:rsid w:val="009D7B29"/>
    <w:rsid w:val="009E3883"/>
    <w:rsid w:val="009E49AD"/>
    <w:rsid w:val="009E5542"/>
    <w:rsid w:val="009F0ECA"/>
    <w:rsid w:val="009F1665"/>
    <w:rsid w:val="009F2345"/>
    <w:rsid w:val="009F75F0"/>
    <w:rsid w:val="009F762D"/>
    <w:rsid w:val="00A00797"/>
    <w:rsid w:val="00A01CFA"/>
    <w:rsid w:val="00A01DBC"/>
    <w:rsid w:val="00A0204A"/>
    <w:rsid w:val="00A049D1"/>
    <w:rsid w:val="00A04AFE"/>
    <w:rsid w:val="00A04E1C"/>
    <w:rsid w:val="00A05AC1"/>
    <w:rsid w:val="00A06248"/>
    <w:rsid w:val="00A10D5D"/>
    <w:rsid w:val="00A116D5"/>
    <w:rsid w:val="00A11C53"/>
    <w:rsid w:val="00A120AE"/>
    <w:rsid w:val="00A12DCA"/>
    <w:rsid w:val="00A14171"/>
    <w:rsid w:val="00A15181"/>
    <w:rsid w:val="00A15DAD"/>
    <w:rsid w:val="00A17A3A"/>
    <w:rsid w:val="00A20A65"/>
    <w:rsid w:val="00A2468E"/>
    <w:rsid w:val="00A24C24"/>
    <w:rsid w:val="00A25A16"/>
    <w:rsid w:val="00A267F2"/>
    <w:rsid w:val="00A27305"/>
    <w:rsid w:val="00A2750D"/>
    <w:rsid w:val="00A302D0"/>
    <w:rsid w:val="00A306D7"/>
    <w:rsid w:val="00A31169"/>
    <w:rsid w:val="00A339DE"/>
    <w:rsid w:val="00A343C9"/>
    <w:rsid w:val="00A36647"/>
    <w:rsid w:val="00A410D7"/>
    <w:rsid w:val="00A42AE0"/>
    <w:rsid w:val="00A42D69"/>
    <w:rsid w:val="00A42E3D"/>
    <w:rsid w:val="00A434CD"/>
    <w:rsid w:val="00A43DF5"/>
    <w:rsid w:val="00A445FF"/>
    <w:rsid w:val="00A45698"/>
    <w:rsid w:val="00A50B4E"/>
    <w:rsid w:val="00A50B91"/>
    <w:rsid w:val="00A50EB3"/>
    <w:rsid w:val="00A51440"/>
    <w:rsid w:val="00A51815"/>
    <w:rsid w:val="00A532F9"/>
    <w:rsid w:val="00A54113"/>
    <w:rsid w:val="00A545CF"/>
    <w:rsid w:val="00A54D60"/>
    <w:rsid w:val="00A54E4E"/>
    <w:rsid w:val="00A551AD"/>
    <w:rsid w:val="00A5576E"/>
    <w:rsid w:val="00A55F8E"/>
    <w:rsid w:val="00A5603B"/>
    <w:rsid w:val="00A61ADF"/>
    <w:rsid w:val="00A62548"/>
    <w:rsid w:val="00A62C3D"/>
    <w:rsid w:val="00A6555A"/>
    <w:rsid w:val="00A65E55"/>
    <w:rsid w:val="00A66151"/>
    <w:rsid w:val="00A665F5"/>
    <w:rsid w:val="00A666B1"/>
    <w:rsid w:val="00A66F3A"/>
    <w:rsid w:val="00A71A1A"/>
    <w:rsid w:val="00A7240B"/>
    <w:rsid w:val="00A744F1"/>
    <w:rsid w:val="00A7453A"/>
    <w:rsid w:val="00A74D51"/>
    <w:rsid w:val="00A760CA"/>
    <w:rsid w:val="00A761B6"/>
    <w:rsid w:val="00A7690A"/>
    <w:rsid w:val="00A80809"/>
    <w:rsid w:val="00A8196D"/>
    <w:rsid w:val="00A82B79"/>
    <w:rsid w:val="00A82EBC"/>
    <w:rsid w:val="00A830E4"/>
    <w:rsid w:val="00A8363F"/>
    <w:rsid w:val="00A84365"/>
    <w:rsid w:val="00A85FEE"/>
    <w:rsid w:val="00A860DE"/>
    <w:rsid w:val="00A8619C"/>
    <w:rsid w:val="00A8787C"/>
    <w:rsid w:val="00A87E35"/>
    <w:rsid w:val="00A90759"/>
    <w:rsid w:val="00A9167A"/>
    <w:rsid w:val="00A92162"/>
    <w:rsid w:val="00A92C3F"/>
    <w:rsid w:val="00A93D02"/>
    <w:rsid w:val="00A93D5E"/>
    <w:rsid w:val="00A958CE"/>
    <w:rsid w:val="00A96A30"/>
    <w:rsid w:val="00A9757F"/>
    <w:rsid w:val="00A97745"/>
    <w:rsid w:val="00A9799A"/>
    <w:rsid w:val="00A97CC8"/>
    <w:rsid w:val="00AA06D1"/>
    <w:rsid w:val="00AA11AA"/>
    <w:rsid w:val="00AA23B2"/>
    <w:rsid w:val="00AA25C0"/>
    <w:rsid w:val="00AA41A4"/>
    <w:rsid w:val="00AA42F9"/>
    <w:rsid w:val="00AA5AFE"/>
    <w:rsid w:val="00AA701F"/>
    <w:rsid w:val="00AA74E0"/>
    <w:rsid w:val="00AA7B09"/>
    <w:rsid w:val="00AB23CE"/>
    <w:rsid w:val="00AB3BBB"/>
    <w:rsid w:val="00AB3EF0"/>
    <w:rsid w:val="00AB457B"/>
    <w:rsid w:val="00AB51BF"/>
    <w:rsid w:val="00AC045E"/>
    <w:rsid w:val="00AC059B"/>
    <w:rsid w:val="00AC08D3"/>
    <w:rsid w:val="00AC0C47"/>
    <w:rsid w:val="00AC10FA"/>
    <w:rsid w:val="00AC168A"/>
    <w:rsid w:val="00AC1894"/>
    <w:rsid w:val="00AC5000"/>
    <w:rsid w:val="00AC5DF1"/>
    <w:rsid w:val="00AC60D9"/>
    <w:rsid w:val="00AD1514"/>
    <w:rsid w:val="00AD16FD"/>
    <w:rsid w:val="00AD1C95"/>
    <w:rsid w:val="00AD214C"/>
    <w:rsid w:val="00AD22ED"/>
    <w:rsid w:val="00AD31FE"/>
    <w:rsid w:val="00AD44BA"/>
    <w:rsid w:val="00AD562D"/>
    <w:rsid w:val="00AD5A0F"/>
    <w:rsid w:val="00AD6780"/>
    <w:rsid w:val="00AE1207"/>
    <w:rsid w:val="00AE1ECA"/>
    <w:rsid w:val="00AE271A"/>
    <w:rsid w:val="00AE2A10"/>
    <w:rsid w:val="00AE2F45"/>
    <w:rsid w:val="00AE34B3"/>
    <w:rsid w:val="00AE3BD8"/>
    <w:rsid w:val="00AE3C93"/>
    <w:rsid w:val="00AE40F7"/>
    <w:rsid w:val="00AE5676"/>
    <w:rsid w:val="00AF33A5"/>
    <w:rsid w:val="00AF3C41"/>
    <w:rsid w:val="00AF4F9A"/>
    <w:rsid w:val="00AF60E3"/>
    <w:rsid w:val="00AF6156"/>
    <w:rsid w:val="00AF62A7"/>
    <w:rsid w:val="00AF6910"/>
    <w:rsid w:val="00AF6D2C"/>
    <w:rsid w:val="00AF6E0E"/>
    <w:rsid w:val="00AF7BA7"/>
    <w:rsid w:val="00B00709"/>
    <w:rsid w:val="00B00893"/>
    <w:rsid w:val="00B027E1"/>
    <w:rsid w:val="00B0350F"/>
    <w:rsid w:val="00B04332"/>
    <w:rsid w:val="00B04414"/>
    <w:rsid w:val="00B04B7F"/>
    <w:rsid w:val="00B04CC5"/>
    <w:rsid w:val="00B05805"/>
    <w:rsid w:val="00B05B34"/>
    <w:rsid w:val="00B10210"/>
    <w:rsid w:val="00B10C2C"/>
    <w:rsid w:val="00B13AEA"/>
    <w:rsid w:val="00B153C2"/>
    <w:rsid w:val="00B15572"/>
    <w:rsid w:val="00B1574A"/>
    <w:rsid w:val="00B16FAB"/>
    <w:rsid w:val="00B17773"/>
    <w:rsid w:val="00B1788E"/>
    <w:rsid w:val="00B17E4D"/>
    <w:rsid w:val="00B21324"/>
    <w:rsid w:val="00B2149C"/>
    <w:rsid w:val="00B21E11"/>
    <w:rsid w:val="00B224D2"/>
    <w:rsid w:val="00B22535"/>
    <w:rsid w:val="00B23740"/>
    <w:rsid w:val="00B2437E"/>
    <w:rsid w:val="00B24525"/>
    <w:rsid w:val="00B24552"/>
    <w:rsid w:val="00B24A3E"/>
    <w:rsid w:val="00B24B6E"/>
    <w:rsid w:val="00B25A4E"/>
    <w:rsid w:val="00B26C31"/>
    <w:rsid w:val="00B27208"/>
    <w:rsid w:val="00B317DD"/>
    <w:rsid w:val="00B325E9"/>
    <w:rsid w:val="00B3470F"/>
    <w:rsid w:val="00B34A23"/>
    <w:rsid w:val="00B34CD0"/>
    <w:rsid w:val="00B35A65"/>
    <w:rsid w:val="00B37C6B"/>
    <w:rsid w:val="00B409A5"/>
    <w:rsid w:val="00B422F7"/>
    <w:rsid w:val="00B429B8"/>
    <w:rsid w:val="00B44037"/>
    <w:rsid w:val="00B44688"/>
    <w:rsid w:val="00B44C6E"/>
    <w:rsid w:val="00B44DCA"/>
    <w:rsid w:val="00B457C6"/>
    <w:rsid w:val="00B45DA3"/>
    <w:rsid w:val="00B4649B"/>
    <w:rsid w:val="00B50146"/>
    <w:rsid w:val="00B505CC"/>
    <w:rsid w:val="00B50B35"/>
    <w:rsid w:val="00B53DC9"/>
    <w:rsid w:val="00B54A12"/>
    <w:rsid w:val="00B556ED"/>
    <w:rsid w:val="00B55DA1"/>
    <w:rsid w:val="00B56340"/>
    <w:rsid w:val="00B56935"/>
    <w:rsid w:val="00B5771E"/>
    <w:rsid w:val="00B57DA6"/>
    <w:rsid w:val="00B61C5C"/>
    <w:rsid w:val="00B627ED"/>
    <w:rsid w:val="00B63FF1"/>
    <w:rsid w:val="00B64AB7"/>
    <w:rsid w:val="00B65315"/>
    <w:rsid w:val="00B65DD2"/>
    <w:rsid w:val="00B67292"/>
    <w:rsid w:val="00B677A5"/>
    <w:rsid w:val="00B67EF0"/>
    <w:rsid w:val="00B7005C"/>
    <w:rsid w:val="00B714E4"/>
    <w:rsid w:val="00B728E1"/>
    <w:rsid w:val="00B7315F"/>
    <w:rsid w:val="00B74057"/>
    <w:rsid w:val="00B765D3"/>
    <w:rsid w:val="00B76859"/>
    <w:rsid w:val="00B8096A"/>
    <w:rsid w:val="00B8160F"/>
    <w:rsid w:val="00B825EE"/>
    <w:rsid w:val="00B83241"/>
    <w:rsid w:val="00B846DB"/>
    <w:rsid w:val="00B84908"/>
    <w:rsid w:val="00B84D27"/>
    <w:rsid w:val="00B86832"/>
    <w:rsid w:val="00B869A6"/>
    <w:rsid w:val="00B87BA3"/>
    <w:rsid w:val="00B91892"/>
    <w:rsid w:val="00B92818"/>
    <w:rsid w:val="00B928F6"/>
    <w:rsid w:val="00B93325"/>
    <w:rsid w:val="00B937C1"/>
    <w:rsid w:val="00B9413E"/>
    <w:rsid w:val="00B9465F"/>
    <w:rsid w:val="00B954E0"/>
    <w:rsid w:val="00B955C7"/>
    <w:rsid w:val="00B9654F"/>
    <w:rsid w:val="00B9797F"/>
    <w:rsid w:val="00B97A24"/>
    <w:rsid w:val="00BA260F"/>
    <w:rsid w:val="00BA4D38"/>
    <w:rsid w:val="00BA54A4"/>
    <w:rsid w:val="00BA5731"/>
    <w:rsid w:val="00BA5DC9"/>
    <w:rsid w:val="00BA6146"/>
    <w:rsid w:val="00BA632E"/>
    <w:rsid w:val="00BA6932"/>
    <w:rsid w:val="00BA6C77"/>
    <w:rsid w:val="00BA7201"/>
    <w:rsid w:val="00BB199F"/>
    <w:rsid w:val="00BB2237"/>
    <w:rsid w:val="00BB3840"/>
    <w:rsid w:val="00BB392E"/>
    <w:rsid w:val="00BB48EE"/>
    <w:rsid w:val="00BB4E70"/>
    <w:rsid w:val="00BB6114"/>
    <w:rsid w:val="00BB6C34"/>
    <w:rsid w:val="00BC0495"/>
    <w:rsid w:val="00BC0F42"/>
    <w:rsid w:val="00BC1725"/>
    <w:rsid w:val="00BC2652"/>
    <w:rsid w:val="00BC26B7"/>
    <w:rsid w:val="00BC27AB"/>
    <w:rsid w:val="00BC34E7"/>
    <w:rsid w:val="00BC3F87"/>
    <w:rsid w:val="00BC5178"/>
    <w:rsid w:val="00BC5AB8"/>
    <w:rsid w:val="00BC5ABC"/>
    <w:rsid w:val="00BC5C13"/>
    <w:rsid w:val="00BC705C"/>
    <w:rsid w:val="00BD0F40"/>
    <w:rsid w:val="00BD1F08"/>
    <w:rsid w:val="00BD20FA"/>
    <w:rsid w:val="00BD2291"/>
    <w:rsid w:val="00BD329A"/>
    <w:rsid w:val="00BD5FE0"/>
    <w:rsid w:val="00BD63A5"/>
    <w:rsid w:val="00BD6867"/>
    <w:rsid w:val="00BD6DF9"/>
    <w:rsid w:val="00BD7089"/>
    <w:rsid w:val="00BD7239"/>
    <w:rsid w:val="00BD72CC"/>
    <w:rsid w:val="00BE07FB"/>
    <w:rsid w:val="00BE200B"/>
    <w:rsid w:val="00BE4539"/>
    <w:rsid w:val="00BE4F92"/>
    <w:rsid w:val="00BE6907"/>
    <w:rsid w:val="00BE6CD6"/>
    <w:rsid w:val="00BF0B29"/>
    <w:rsid w:val="00BF11C3"/>
    <w:rsid w:val="00BF1DB7"/>
    <w:rsid w:val="00BF237E"/>
    <w:rsid w:val="00BF2906"/>
    <w:rsid w:val="00BF31A7"/>
    <w:rsid w:val="00BF3FB6"/>
    <w:rsid w:val="00BF41E0"/>
    <w:rsid w:val="00BF4718"/>
    <w:rsid w:val="00BF4D51"/>
    <w:rsid w:val="00BF51B9"/>
    <w:rsid w:val="00BF6106"/>
    <w:rsid w:val="00BF76DC"/>
    <w:rsid w:val="00C00462"/>
    <w:rsid w:val="00C01531"/>
    <w:rsid w:val="00C0164D"/>
    <w:rsid w:val="00C01E0D"/>
    <w:rsid w:val="00C02C0F"/>
    <w:rsid w:val="00C031BD"/>
    <w:rsid w:val="00C03883"/>
    <w:rsid w:val="00C03BE2"/>
    <w:rsid w:val="00C05311"/>
    <w:rsid w:val="00C054E7"/>
    <w:rsid w:val="00C06164"/>
    <w:rsid w:val="00C0658F"/>
    <w:rsid w:val="00C06B6A"/>
    <w:rsid w:val="00C07B70"/>
    <w:rsid w:val="00C11759"/>
    <w:rsid w:val="00C11A98"/>
    <w:rsid w:val="00C11D04"/>
    <w:rsid w:val="00C12F72"/>
    <w:rsid w:val="00C13088"/>
    <w:rsid w:val="00C20EDA"/>
    <w:rsid w:val="00C21EAC"/>
    <w:rsid w:val="00C22DD2"/>
    <w:rsid w:val="00C23F80"/>
    <w:rsid w:val="00C243A4"/>
    <w:rsid w:val="00C24422"/>
    <w:rsid w:val="00C255F9"/>
    <w:rsid w:val="00C25748"/>
    <w:rsid w:val="00C26298"/>
    <w:rsid w:val="00C26548"/>
    <w:rsid w:val="00C26A17"/>
    <w:rsid w:val="00C27B65"/>
    <w:rsid w:val="00C307E7"/>
    <w:rsid w:val="00C310F6"/>
    <w:rsid w:val="00C33503"/>
    <w:rsid w:val="00C33B47"/>
    <w:rsid w:val="00C34117"/>
    <w:rsid w:val="00C35004"/>
    <w:rsid w:val="00C35439"/>
    <w:rsid w:val="00C35B2A"/>
    <w:rsid w:val="00C375EB"/>
    <w:rsid w:val="00C37D8F"/>
    <w:rsid w:val="00C41101"/>
    <w:rsid w:val="00C41489"/>
    <w:rsid w:val="00C41735"/>
    <w:rsid w:val="00C418CF"/>
    <w:rsid w:val="00C42DB7"/>
    <w:rsid w:val="00C43040"/>
    <w:rsid w:val="00C43692"/>
    <w:rsid w:val="00C44B23"/>
    <w:rsid w:val="00C4528D"/>
    <w:rsid w:val="00C45D87"/>
    <w:rsid w:val="00C46548"/>
    <w:rsid w:val="00C477E1"/>
    <w:rsid w:val="00C5102E"/>
    <w:rsid w:val="00C51589"/>
    <w:rsid w:val="00C5290B"/>
    <w:rsid w:val="00C53329"/>
    <w:rsid w:val="00C534FD"/>
    <w:rsid w:val="00C53EDF"/>
    <w:rsid w:val="00C5402A"/>
    <w:rsid w:val="00C541B8"/>
    <w:rsid w:val="00C54D0E"/>
    <w:rsid w:val="00C55114"/>
    <w:rsid w:val="00C55537"/>
    <w:rsid w:val="00C5599F"/>
    <w:rsid w:val="00C55C04"/>
    <w:rsid w:val="00C6118B"/>
    <w:rsid w:val="00C61448"/>
    <w:rsid w:val="00C61516"/>
    <w:rsid w:val="00C62A49"/>
    <w:rsid w:val="00C634AE"/>
    <w:rsid w:val="00C63D58"/>
    <w:rsid w:val="00C6446E"/>
    <w:rsid w:val="00C650FF"/>
    <w:rsid w:val="00C652AB"/>
    <w:rsid w:val="00C65EE9"/>
    <w:rsid w:val="00C66964"/>
    <w:rsid w:val="00C669D9"/>
    <w:rsid w:val="00C70DE6"/>
    <w:rsid w:val="00C71646"/>
    <w:rsid w:val="00C7334B"/>
    <w:rsid w:val="00C74514"/>
    <w:rsid w:val="00C745F2"/>
    <w:rsid w:val="00C807F9"/>
    <w:rsid w:val="00C810D9"/>
    <w:rsid w:val="00C81407"/>
    <w:rsid w:val="00C82010"/>
    <w:rsid w:val="00C835CA"/>
    <w:rsid w:val="00C83A9E"/>
    <w:rsid w:val="00C8469B"/>
    <w:rsid w:val="00C851A1"/>
    <w:rsid w:val="00C863DE"/>
    <w:rsid w:val="00C869E6"/>
    <w:rsid w:val="00C9123B"/>
    <w:rsid w:val="00C91D58"/>
    <w:rsid w:val="00C91E99"/>
    <w:rsid w:val="00C92123"/>
    <w:rsid w:val="00C9396D"/>
    <w:rsid w:val="00C9397C"/>
    <w:rsid w:val="00C94677"/>
    <w:rsid w:val="00C949AE"/>
    <w:rsid w:val="00C94FE1"/>
    <w:rsid w:val="00C9631F"/>
    <w:rsid w:val="00C9666B"/>
    <w:rsid w:val="00C972FA"/>
    <w:rsid w:val="00C97464"/>
    <w:rsid w:val="00C97535"/>
    <w:rsid w:val="00C978D8"/>
    <w:rsid w:val="00C97DBD"/>
    <w:rsid w:val="00CA4A96"/>
    <w:rsid w:val="00CA5773"/>
    <w:rsid w:val="00CA6260"/>
    <w:rsid w:val="00CA7412"/>
    <w:rsid w:val="00CA7A7F"/>
    <w:rsid w:val="00CB1C69"/>
    <w:rsid w:val="00CB1EE8"/>
    <w:rsid w:val="00CB3022"/>
    <w:rsid w:val="00CB5CFC"/>
    <w:rsid w:val="00CB6B5C"/>
    <w:rsid w:val="00CB6CD7"/>
    <w:rsid w:val="00CB6E7B"/>
    <w:rsid w:val="00CB79DD"/>
    <w:rsid w:val="00CB7B3B"/>
    <w:rsid w:val="00CC00CC"/>
    <w:rsid w:val="00CC1CE6"/>
    <w:rsid w:val="00CC207B"/>
    <w:rsid w:val="00CC3572"/>
    <w:rsid w:val="00CC383C"/>
    <w:rsid w:val="00CC43DD"/>
    <w:rsid w:val="00CC5A0B"/>
    <w:rsid w:val="00CC606B"/>
    <w:rsid w:val="00CC682C"/>
    <w:rsid w:val="00CC7407"/>
    <w:rsid w:val="00CD1B29"/>
    <w:rsid w:val="00CD25CD"/>
    <w:rsid w:val="00CD2C0C"/>
    <w:rsid w:val="00CD41AB"/>
    <w:rsid w:val="00CD4330"/>
    <w:rsid w:val="00CD4D59"/>
    <w:rsid w:val="00CD7096"/>
    <w:rsid w:val="00CE0D30"/>
    <w:rsid w:val="00CE1628"/>
    <w:rsid w:val="00CE19BF"/>
    <w:rsid w:val="00CE1F37"/>
    <w:rsid w:val="00CE2179"/>
    <w:rsid w:val="00CE23A3"/>
    <w:rsid w:val="00CE23CC"/>
    <w:rsid w:val="00CE2D3C"/>
    <w:rsid w:val="00CE4E2F"/>
    <w:rsid w:val="00CE62DC"/>
    <w:rsid w:val="00CE6C24"/>
    <w:rsid w:val="00CE7339"/>
    <w:rsid w:val="00CE773F"/>
    <w:rsid w:val="00CE7CE2"/>
    <w:rsid w:val="00CF060E"/>
    <w:rsid w:val="00CF238C"/>
    <w:rsid w:val="00CF2A34"/>
    <w:rsid w:val="00CF5952"/>
    <w:rsid w:val="00CF5D38"/>
    <w:rsid w:val="00CF6858"/>
    <w:rsid w:val="00CF74B4"/>
    <w:rsid w:val="00CF7828"/>
    <w:rsid w:val="00D0067B"/>
    <w:rsid w:val="00D00946"/>
    <w:rsid w:val="00D00DF9"/>
    <w:rsid w:val="00D02045"/>
    <w:rsid w:val="00D022C3"/>
    <w:rsid w:val="00D05C96"/>
    <w:rsid w:val="00D07E17"/>
    <w:rsid w:val="00D1074B"/>
    <w:rsid w:val="00D12369"/>
    <w:rsid w:val="00D12A4A"/>
    <w:rsid w:val="00D13222"/>
    <w:rsid w:val="00D151DD"/>
    <w:rsid w:val="00D154F0"/>
    <w:rsid w:val="00D158D2"/>
    <w:rsid w:val="00D15FDE"/>
    <w:rsid w:val="00D1641B"/>
    <w:rsid w:val="00D16B49"/>
    <w:rsid w:val="00D17226"/>
    <w:rsid w:val="00D1773D"/>
    <w:rsid w:val="00D17ACF"/>
    <w:rsid w:val="00D20C68"/>
    <w:rsid w:val="00D21244"/>
    <w:rsid w:val="00D22173"/>
    <w:rsid w:val="00D22C72"/>
    <w:rsid w:val="00D252AB"/>
    <w:rsid w:val="00D262B1"/>
    <w:rsid w:val="00D26708"/>
    <w:rsid w:val="00D26C06"/>
    <w:rsid w:val="00D27DAC"/>
    <w:rsid w:val="00D323D8"/>
    <w:rsid w:val="00D32515"/>
    <w:rsid w:val="00D32EBB"/>
    <w:rsid w:val="00D346E7"/>
    <w:rsid w:val="00D351F3"/>
    <w:rsid w:val="00D36716"/>
    <w:rsid w:val="00D406A0"/>
    <w:rsid w:val="00D40B35"/>
    <w:rsid w:val="00D42859"/>
    <w:rsid w:val="00D43091"/>
    <w:rsid w:val="00D43A91"/>
    <w:rsid w:val="00D448E4"/>
    <w:rsid w:val="00D46910"/>
    <w:rsid w:val="00D475FB"/>
    <w:rsid w:val="00D52541"/>
    <w:rsid w:val="00D52782"/>
    <w:rsid w:val="00D528F3"/>
    <w:rsid w:val="00D52BC4"/>
    <w:rsid w:val="00D5305E"/>
    <w:rsid w:val="00D53D80"/>
    <w:rsid w:val="00D542FB"/>
    <w:rsid w:val="00D55E7E"/>
    <w:rsid w:val="00D56240"/>
    <w:rsid w:val="00D567FE"/>
    <w:rsid w:val="00D570CF"/>
    <w:rsid w:val="00D57111"/>
    <w:rsid w:val="00D576C0"/>
    <w:rsid w:val="00D616E0"/>
    <w:rsid w:val="00D623F0"/>
    <w:rsid w:val="00D627B2"/>
    <w:rsid w:val="00D6286A"/>
    <w:rsid w:val="00D63EBC"/>
    <w:rsid w:val="00D66001"/>
    <w:rsid w:val="00D70844"/>
    <w:rsid w:val="00D71982"/>
    <w:rsid w:val="00D71CCE"/>
    <w:rsid w:val="00D71D13"/>
    <w:rsid w:val="00D71E05"/>
    <w:rsid w:val="00D71E3B"/>
    <w:rsid w:val="00D728C2"/>
    <w:rsid w:val="00D72E78"/>
    <w:rsid w:val="00D73D34"/>
    <w:rsid w:val="00D74DE1"/>
    <w:rsid w:val="00D773D8"/>
    <w:rsid w:val="00D80D40"/>
    <w:rsid w:val="00D811FB"/>
    <w:rsid w:val="00D82BCB"/>
    <w:rsid w:val="00D831C5"/>
    <w:rsid w:val="00D83458"/>
    <w:rsid w:val="00D84B65"/>
    <w:rsid w:val="00D84CA7"/>
    <w:rsid w:val="00D86841"/>
    <w:rsid w:val="00D86A80"/>
    <w:rsid w:val="00D87F76"/>
    <w:rsid w:val="00D904BD"/>
    <w:rsid w:val="00D91C0C"/>
    <w:rsid w:val="00D93ACB"/>
    <w:rsid w:val="00D9482C"/>
    <w:rsid w:val="00DA0730"/>
    <w:rsid w:val="00DA0AE8"/>
    <w:rsid w:val="00DA2D49"/>
    <w:rsid w:val="00DA3898"/>
    <w:rsid w:val="00DA3D4A"/>
    <w:rsid w:val="00DA45D1"/>
    <w:rsid w:val="00DA4D10"/>
    <w:rsid w:val="00DA51F6"/>
    <w:rsid w:val="00DA613A"/>
    <w:rsid w:val="00DA7193"/>
    <w:rsid w:val="00DA724E"/>
    <w:rsid w:val="00DA7A22"/>
    <w:rsid w:val="00DB1ABE"/>
    <w:rsid w:val="00DB27D8"/>
    <w:rsid w:val="00DB2EA1"/>
    <w:rsid w:val="00DB3FB9"/>
    <w:rsid w:val="00DB407B"/>
    <w:rsid w:val="00DB5097"/>
    <w:rsid w:val="00DB74CB"/>
    <w:rsid w:val="00DB75D1"/>
    <w:rsid w:val="00DB7BFB"/>
    <w:rsid w:val="00DC0B73"/>
    <w:rsid w:val="00DC0B8D"/>
    <w:rsid w:val="00DC3D8C"/>
    <w:rsid w:val="00DC4E77"/>
    <w:rsid w:val="00DC5348"/>
    <w:rsid w:val="00DC5E7B"/>
    <w:rsid w:val="00DC6138"/>
    <w:rsid w:val="00DC6D85"/>
    <w:rsid w:val="00DC6E79"/>
    <w:rsid w:val="00DC7846"/>
    <w:rsid w:val="00DC7991"/>
    <w:rsid w:val="00DC7BCF"/>
    <w:rsid w:val="00DD0360"/>
    <w:rsid w:val="00DD0F7E"/>
    <w:rsid w:val="00DD1BCE"/>
    <w:rsid w:val="00DD2BD7"/>
    <w:rsid w:val="00DD4667"/>
    <w:rsid w:val="00DD477C"/>
    <w:rsid w:val="00DD5655"/>
    <w:rsid w:val="00DD69E7"/>
    <w:rsid w:val="00DD6BDE"/>
    <w:rsid w:val="00DD6ED5"/>
    <w:rsid w:val="00DD7DE2"/>
    <w:rsid w:val="00DE0B75"/>
    <w:rsid w:val="00DE0C69"/>
    <w:rsid w:val="00DE0D5A"/>
    <w:rsid w:val="00DE21CF"/>
    <w:rsid w:val="00DE2B3B"/>
    <w:rsid w:val="00DE2C5B"/>
    <w:rsid w:val="00DE310A"/>
    <w:rsid w:val="00DE34A5"/>
    <w:rsid w:val="00DE4B49"/>
    <w:rsid w:val="00DE4E37"/>
    <w:rsid w:val="00DE4F92"/>
    <w:rsid w:val="00DE511C"/>
    <w:rsid w:val="00DE5AE1"/>
    <w:rsid w:val="00DE7A41"/>
    <w:rsid w:val="00DF0A24"/>
    <w:rsid w:val="00DF1097"/>
    <w:rsid w:val="00DF1693"/>
    <w:rsid w:val="00DF1FCC"/>
    <w:rsid w:val="00DF25A9"/>
    <w:rsid w:val="00DF38EC"/>
    <w:rsid w:val="00DF47EB"/>
    <w:rsid w:val="00DF499C"/>
    <w:rsid w:val="00DF55BD"/>
    <w:rsid w:val="00DF58E3"/>
    <w:rsid w:val="00DF682A"/>
    <w:rsid w:val="00DF69D3"/>
    <w:rsid w:val="00E0098E"/>
    <w:rsid w:val="00E00EB4"/>
    <w:rsid w:val="00E012FD"/>
    <w:rsid w:val="00E0170A"/>
    <w:rsid w:val="00E02232"/>
    <w:rsid w:val="00E02472"/>
    <w:rsid w:val="00E03F57"/>
    <w:rsid w:val="00E04310"/>
    <w:rsid w:val="00E04BC4"/>
    <w:rsid w:val="00E0549C"/>
    <w:rsid w:val="00E05D3A"/>
    <w:rsid w:val="00E05FE8"/>
    <w:rsid w:val="00E0611D"/>
    <w:rsid w:val="00E0616E"/>
    <w:rsid w:val="00E06436"/>
    <w:rsid w:val="00E10172"/>
    <w:rsid w:val="00E102AD"/>
    <w:rsid w:val="00E1033B"/>
    <w:rsid w:val="00E103AE"/>
    <w:rsid w:val="00E10D5D"/>
    <w:rsid w:val="00E10D6A"/>
    <w:rsid w:val="00E10D88"/>
    <w:rsid w:val="00E11203"/>
    <w:rsid w:val="00E1396B"/>
    <w:rsid w:val="00E14D77"/>
    <w:rsid w:val="00E15627"/>
    <w:rsid w:val="00E15950"/>
    <w:rsid w:val="00E16591"/>
    <w:rsid w:val="00E168B8"/>
    <w:rsid w:val="00E17E42"/>
    <w:rsid w:val="00E205EC"/>
    <w:rsid w:val="00E20EE8"/>
    <w:rsid w:val="00E2131C"/>
    <w:rsid w:val="00E25C23"/>
    <w:rsid w:val="00E27363"/>
    <w:rsid w:val="00E3094C"/>
    <w:rsid w:val="00E30D4C"/>
    <w:rsid w:val="00E311C4"/>
    <w:rsid w:val="00E325AF"/>
    <w:rsid w:val="00E32918"/>
    <w:rsid w:val="00E3314E"/>
    <w:rsid w:val="00E336A3"/>
    <w:rsid w:val="00E3598A"/>
    <w:rsid w:val="00E400DE"/>
    <w:rsid w:val="00E41126"/>
    <w:rsid w:val="00E419A8"/>
    <w:rsid w:val="00E436B3"/>
    <w:rsid w:val="00E436CA"/>
    <w:rsid w:val="00E436D9"/>
    <w:rsid w:val="00E43D19"/>
    <w:rsid w:val="00E446D2"/>
    <w:rsid w:val="00E446DE"/>
    <w:rsid w:val="00E448D9"/>
    <w:rsid w:val="00E45638"/>
    <w:rsid w:val="00E456EC"/>
    <w:rsid w:val="00E5023F"/>
    <w:rsid w:val="00E54346"/>
    <w:rsid w:val="00E548FF"/>
    <w:rsid w:val="00E54C41"/>
    <w:rsid w:val="00E55992"/>
    <w:rsid w:val="00E56197"/>
    <w:rsid w:val="00E56C6D"/>
    <w:rsid w:val="00E60495"/>
    <w:rsid w:val="00E61E02"/>
    <w:rsid w:val="00E62BAB"/>
    <w:rsid w:val="00E6508A"/>
    <w:rsid w:val="00E67307"/>
    <w:rsid w:val="00E701CF"/>
    <w:rsid w:val="00E70B1F"/>
    <w:rsid w:val="00E718DD"/>
    <w:rsid w:val="00E72D38"/>
    <w:rsid w:val="00E74D6D"/>
    <w:rsid w:val="00E75A29"/>
    <w:rsid w:val="00E767B2"/>
    <w:rsid w:val="00E76B46"/>
    <w:rsid w:val="00E80E5D"/>
    <w:rsid w:val="00E81401"/>
    <w:rsid w:val="00E82F75"/>
    <w:rsid w:val="00E843DB"/>
    <w:rsid w:val="00E84491"/>
    <w:rsid w:val="00E84B37"/>
    <w:rsid w:val="00E84D27"/>
    <w:rsid w:val="00E85A8C"/>
    <w:rsid w:val="00E8676C"/>
    <w:rsid w:val="00E937EC"/>
    <w:rsid w:val="00E93E84"/>
    <w:rsid w:val="00E9493E"/>
    <w:rsid w:val="00E94FD5"/>
    <w:rsid w:val="00E95353"/>
    <w:rsid w:val="00E96993"/>
    <w:rsid w:val="00E97448"/>
    <w:rsid w:val="00E9790D"/>
    <w:rsid w:val="00EA0712"/>
    <w:rsid w:val="00EA2FC4"/>
    <w:rsid w:val="00EA3A45"/>
    <w:rsid w:val="00EA40DB"/>
    <w:rsid w:val="00EA453A"/>
    <w:rsid w:val="00EA4544"/>
    <w:rsid w:val="00EA58EA"/>
    <w:rsid w:val="00EA7472"/>
    <w:rsid w:val="00EA78BF"/>
    <w:rsid w:val="00EA7966"/>
    <w:rsid w:val="00EB0286"/>
    <w:rsid w:val="00EB0E3F"/>
    <w:rsid w:val="00EB1C08"/>
    <w:rsid w:val="00EB306A"/>
    <w:rsid w:val="00EB3417"/>
    <w:rsid w:val="00EB51C3"/>
    <w:rsid w:val="00EB5965"/>
    <w:rsid w:val="00EB5DE0"/>
    <w:rsid w:val="00EB63CC"/>
    <w:rsid w:val="00EB7489"/>
    <w:rsid w:val="00EC0CB8"/>
    <w:rsid w:val="00EC15A1"/>
    <w:rsid w:val="00EC24CC"/>
    <w:rsid w:val="00EC25ED"/>
    <w:rsid w:val="00EC2CBD"/>
    <w:rsid w:val="00EC3C2A"/>
    <w:rsid w:val="00EC4251"/>
    <w:rsid w:val="00EC4E77"/>
    <w:rsid w:val="00EC4FCC"/>
    <w:rsid w:val="00EC5311"/>
    <w:rsid w:val="00EC6679"/>
    <w:rsid w:val="00EC71CF"/>
    <w:rsid w:val="00EC759A"/>
    <w:rsid w:val="00EC7970"/>
    <w:rsid w:val="00EC7EB1"/>
    <w:rsid w:val="00ED01BE"/>
    <w:rsid w:val="00ED0755"/>
    <w:rsid w:val="00ED1425"/>
    <w:rsid w:val="00ED168A"/>
    <w:rsid w:val="00ED21A1"/>
    <w:rsid w:val="00ED27CD"/>
    <w:rsid w:val="00ED32EF"/>
    <w:rsid w:val="00ED4092"/>
    <w:rsid w:val="00ED60BE"/>
    <w:rsid w:val="00ED61A8"/>
    <w:rsid w:val="00ED6D65"/>
    <w:rsid w:val="00EE05F4"/>
    <w:rsid w:val="00EE1EEA"/>
    <w:rsid w:val="00EE2031"/>
    <w:rsid w:val="00EE2733"/>
    <w:rsid w:val="00EE2C6C"/>
    <w:rsid w:val="00EE36A2"/>
    <w:rsid w:val="00EE36EB"/>
    <w:rsid w:val="00EE4A99"/>
    <w:rsid w:val="00EE50D1"/>
    <w:rsid w:val="00EE5B87"/>
    <w:rsid w:val="00EE5FAE"/>
    <w:rsid w:val="00EE6D3C"/>
    <w:rsid w:val="00EE74F0"/>
    <w:rsid w:val="00EF08F2"/>
    <w:rsid w:val="00EF0933"/>
    <w:rsid w:val="00EF1BF4"/>
    <w:rsid w:val="00EF2858"/>
    <w:rsid w:val="00EF2A0E"/>
    <w:rsid w:val="00EF3164"/>
    <w:rsid w:val="00EF4BFA"/>
    <w:rsid w:val="00EF5DB7"/>
    <w:rsid w:val="00EF6406"/>
    <w:rsid w:val="00EF67A0"/>
    <w:rsid w:val="00EF6B5E"/>
    <w:rsid w:val="00EF6FAA"/>
    <w:rsid w:val="00EF7311"/>
    <w:rsid w:val="00EF7CC0"/>
    <w:rsid w:val="00EF7FE7"/>
    <w:rsid w:val="00F00587"/>
    <w:rsid w:val="00F0108A"/>
    <w:rsid w:val="00F01376"/>
    <w:rsid w:val="00F017DE"/>
    <w:rsid w:val="00F01BD5"/>
    <w:rsid w:val="00F021CD"/>
    <w:rsid w:val="00F03337"/>
    <w:rsid w:val="00F03B93"/>
    <w:rsid w:val="00F0407E"/>
    <w:rsid w:val="00F04262"/>
    <w:rsid w:val="00F07B53"/>
    <w:rsid w:val="00F11432"/>
    <w:rsid w:val="00F1275F"/>
    <w:rsid w:val="00F1297F"/>
    <w:rsid w:val="00F12C6E"/>
    <w:rsid w:val="00F13AEF"/>
    <w:rsid w:val="00F1486D"/>
    <w:rsid w:val="00F14C40"/>
    <w:rsid w:val="00F1770F"/>
    <w:rsid w:val="00F20207"/>
    <w:rsid w:val="00F227D8"/>
    <w:rsid w:val="00F22DDC"/>
    <w:rsid w:val="00F2318D"/>
    <w:rsid w:val="00F269DD"/>
    <w:rsid w:val="00F27117"/>
    <w:rsid w:val="00F271C8"/>
    <w:rsid w:val="00F27A67"/>
    <w:rsid w:val="00F30B13"/>
    <w:rsid w:val="00F31D28"/>
    <w:rsid w:val="00F31D31"/>
    <w:rsid w:val="00F3217B"/>
    <w:rsid w:val="00F32B81"/>
    <w:rsid w:val="00F32C1C"/>
    <w:rsid w:val="00F32FBC"/>
    <w:rsid w:val="00F3547A"/>
    <w:rsid w:val="00F35DDE"/>
    <w:rsid w:val="00F35F8C"/>
    <w:rsid w:val="00F36949"/>
    <w:rsid w:val="00F408C5"/>
    <w:rsid w:val="00F43FB7"/>
    <w:rsid w:val="00F44E7C"/>
    <w:rsid w:val="00F44F2C"/>
    <w:rsid w:val="00F45621"/>
    <w:rsid w:val="00F458C0"/>
    <w:rsid w:val="00F45BDF"/>
    <w:rsid w:val="00F46968"/>
    <w:rsid w:val="00F472FF"/>
    <w:rsid w:val="00F4784F"/>
    <w:rsid w:val="00F5046B"/>
    <w:rsid w:val="00F50A6D"/>
    <w:rsid w:val="00F521DA"/>
    <w:rsid w:val="00F5318E"/>
    <w:rsid w:val="00F53EBC"/>
    <w:rsid w:val="00F53FF2"/>
    <w:rsid w:val="00F54E78"/>
    <w:rsid w:val="00F553FD"/>
    <w:rsid w:val="00F56222"/>
    <w:rsid w:val="00F56A9A"/>
    <w:rsid w:val="00F5731D"/>
    <w:rsid w:val="00F57930"/>
    <w:rsid w:val="00F601FA"/>
    <w:rsid w:val="00F60855"/>
    <w:rsid w:val="00F60AC2"/>
    <w:rsid w:val="00F63416"/>
    <w:rsid w:val="00F63793"/>
    <w:rsid w:val="00F639CA"/>
    <w:rsid w:val="00F6742D"/>
    <w:rsid w:val="00F67E12"/>
    <w:rsid w:val="00F70E9F"/>
    <w:rsid w:val="00F710C6"/>
    <w:rsid w:val="00F713C5"/>
    <w:rsid w:val="00F71635"/>
    <w:rsid w:val="00F73364"/>
    <w:rsid w:val="00F749A7"/>
    <w:rsid w:val="00F751E2"/>
    <w:rsid w:val="00F756E8"/>
    <w:rsid w:val="00F75BFF"/>
    <w:rsid w:val="00F77D47"/>
    <w:rsid w:val="00F80270"/>
    <w:rsid w:val="00F8033A"/>
    <w:rsid w:val="00F82394"/>
    <w:rsid w:val="00F833A7"/>
    <w:rsid w:val="00F840BB"/>
    <w:rsid w:val="00F84403"/>
    <w:rsid w:val="00F84464"/>
    <w:rsid w:val="00F86348"/>
    <w:rsid w:val="00F90201"/>
    <w:rsid w:val="00F90341"/>
    <w:rsid w:val="00F906F0"/>
    <w:rsid w:val="00F917AC"/>
    <w:rsid w:val="00F92103"/>
    <w:rsid w:val="00F9261A"/>
    <w:rsid w:val="00F926EE"/>
    <w:rsid w:val="00F92FAF"/>
    <w:rsid w:val="00FA0176"/>
    <w:rsid w:val="00FA0F32"/>
    <w:rsid w:val="00FA5240"/>
    <w:rsid w:val="00FA6249"/>
    <w:rsid w:val="00FA6DFC"/>
    <w:rsid w:val="00FA73B4"/>
    <w:rsid w:val="00FA7793"/>
    <w:rsid w:val="00FA7C17"/>
    <w:rsid w:val="00FA7DFC"/>
    <w:rsid w:val="00FB0BE5"/>
    <w:rsid w:val="00FB0D5A"/>
    <w:rsid w:val="00FB1470"/>
    <w:rsid w:val="00FB2420"/>
    <w:rsid w:val="00FB2BB7"/>
    <w:rsid w:val="00FB3AA9"/>
    <w:rsid w:val="00FB4663"/>
    <w:rsid w:val="00FB481C"/>
    <w:rsid w:val="00FB4F7D"/>
    <w:rsid w:val="00FB6230"/>
    <w:rsid w:val="00FB6485"/>
    <w:rsid w:val="00FB667B"/>
    <w:rsid w:val="00FC01A8"/>
    <w:rsid w:val="00FC01CC"/>
    <w:rsid w:val="00FC1C07"/>
    <w:rsid w:val="00FC1D2F"/>
    <w:rsid w:val="00FC204F"/>
    <w:rsid w:val="00FC2F42"/>
    <w:rsid w:val="00FC3CA4"/>
    <w:rsid w:val="00FC4BB5"/>
    <w:rsid w:val="00FC5AAC"/>
    <w:rsid w:val="00FC6B23"/>
    <w:rsid w:val="00FD0619"/>
    <w:rsid w:val="00FD231E"/>
    <w:rsid w:val="00FD324F"/>
    <w:rsid w:val="00FD50A5"/>
    <w:rsid w:val="00FD521D"/>
    <w:rsid w:val="00FD57BD"/>
    <w:rsid w:val="00FD5D79"/>
    <w:rsid w:val="00FD7432"/>
    <w:rsid w:val="00FD7438"/>
    <w:rsid w:val="00FD7523"/>
    <w:rsid w:val="00FE0D5B"/>
    <w:rsid w:val="00FE18BF"/>
    <w:rsid w:val="00FE18EB"/>
    <w:rsid w:val="00FE1956"/>
    <w:rsid w:val="00FE29B6"/>
    <w:rsid w:val="00FE3886"/>
    <w:rsid w:val="00FE5182"/>
    <w:rsid w:val="00FE5298"/>
    <w:rsid w:val="00FE621A"/>
    <w:rsid w:val="00FE681B"/>
    <w:rsid w:val="00FE6AA3"/>
    <w:rsid w:val="00FE6D70"/>
    <w:rsid w:val="00FE6FDA"/>
    <w:rsid w:val="00FF0057"/>
    <w:rsid w:val="00FF1D54"/>
    <w:rsid w:val="00FF1D75"/>
    <w:rsid w:val="00FF20A0"/>
    <w:rsid w:val="00FF3734"/>
    <w:rsid w:val="00FF4122"/>
    <w:rsid w:val="00FF457C"/>
    <w:rsid w:val="00FF495D"/>
    <w:rsid w:val="00FF6BDB"/>
    <w:rsid w:val="00FF7649"/>
    <w:rsid w:val="00FF775C"/>
    <w:rsid w:val="00FF78B2"/>
    <w:rsid w:val="099806E9"/>
    <w:rsid w:val="0EF41C3B"/>
    <w:rsid w:val="10CFD4E0"/>
    <w:rsid w:val="14C86C11"/>
    <w:rsid w:val="1F69B4F3"/>
    <w:rsid w:val="2849860B"/>
    <w:rsid w:val="2A9F7022"/>
    <w:rsid w:val="2CC4FD30"/>
    <w:rsid w:val="349A052C"/>
    <w:rsid w:val="352E215C"/>
    <w:rsid w:val="37DBAFE0"/>
    <w:rsid w:val="3A091A41"/>
    <w:rsid w:val="46AC08E0"/>
    <w:rsid w:val="46AEC4EB"/>
    <w:rsid w:val="4E31E65D"/>
    <w:rsid w:val="5C0BE5EB"/>
    <w:rsid w:val="5CB6B852"/>
    <w:rsid w:val="5CF88A4B"/>
    <w:rsid w:val="5EB19722"/>
    <w:rsid w:val="5EC02522"/>
    <w:rsid w:val="63F74910"/>
    <w:rsid w:val="668EEE89"/>
    <w:rsid w:val="6F625FD5"/>
    <w:rsid w:val="78B1DE87"/>
    <w:rsid w:val="7ADC567C"/>
    <w:rsid w:val="7BE633EF"/>
    <w:rsid w:val="7FE4EE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7D301E"/>
  <w15:docId w15:val="{5339DB14-2F64-48C5-9131-4E3ACE97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56D3"/>
    <w:pPr>
      <w:spacing w:line="276" w:lineRule="auto"/>
      <w:jc w:val="both"/>
    </w:pPr>
    <w:rPr>
      <w:rFonts w:eastAsia="Calibri"/>
      <w:sz w:val="22"/>
      <w:szCs w:val="22"/>
      <w:lang w:eastAsia="ar-SA"/>
    </w:rPr>
  </w:style>
  <w:style w:type="paragraph" w:styleId="Titolo1">
    <w:name w:val="heading 1"/>
    <w:basedOn w:val="Normale"/>
    <w:next w:val="Normale"/>
    <w:link w:val="Titolo1Carattere"/>
    <w:uiPriority w:val="99"/>
    <w:qFormat/>
    <w:rsid w:val="004B51F9"/>
    <w:pPr>
      <w:keepNext/>
      <w:numPr>
        <w:numId w:val="5"/>
      </w:numPr>
      <w:spacing w:before="240" w:after="60"/>
      <w:outlineLvl w:val="0"/>
    </w:pPr>
    <w:rPr>
      <w:rFonts w:eastAsia="Times New Roman" w:cs="Times New Roman"/>
      <w:b/>
      <w:bCs/>
      <w:kern w:val="32"/>
      <w:szCs w:val="32"/>
    </w:rPr>
  </w:style>
  <w:style w:type="paragraph" w:styleId="Titolo2">
    <w:name w:val="heading 2"/>
    <w:basedOn w:val="Titolo1"/>
    <w:next w:val="Normale"/>
    <w:link w:val="Titolo2Carattere"/>
    <w:uiPriority w:val="99"/>
    <w:unhideWhenUsed/>
    <w:qFormat/>
    <w:rsid w:val="00CA5773"/>
    <w:pPr>
      <w:numPr>
        <w:ilvl w:val="1"/>
      </w:numPr>
      <w:outlineLvl w:val="1"/>
    </w:pPr>
    <w:rPr>
      <w:bCs w:val="0"/>
      <w:iCs/>
      <w:szCs w:val="28"/>
    </w:rPr>
  </w:style>
  <w:style w:type="paragraph" w:styleId="Titolo3">
    <w:name w:val="heading 3"/>
    <w:basedOn w:val="Titolo1"/>
    <w:next w:val="Normale"/>
    <w:link w:val="Titolo3Carattere"/>
    <w:uiPriority w:val="99"/>
    <w:qFormat/>
    <w:rsid w:val="004B51F9"/>
    <w:pPr>
      <w:numPr>
        <w:ilvl w:val="2"/>
      </w:numPr>
      <w:tabs>
        <w:tab w:val="left" w:pos="660"/>
        <w:tab w:val="left" w:pos="880"/>
      </w:tabs>
      <w:suppressAutoHyphens/>
      <w:spacing w:after="240" w:afterAutospacing="1" w:line="240" w:lineRule="auto"/>
      <w:outlineLvl w:val="2"/>
    </w:pPr>
    <w:rPr>
      <w:rFonts w:eastAsia="MS Mincho"/>
      <w:bCs w:val="0"/>
      <w:kern w:val="0"/>
      <w:szCs w:val="20"/>
      <w:lang w:eastAsia="fr-FR"/>
    </w:rPr>
  </w:style>
  <w:style w:type="paragraph" w:styleId="Titolo4">
    <w:name w:val="heading 4"/>
    <w:basedOn w:val="Titolo3"/>
    <w:next w:val="Normale"/>
    <w:link w:val="Titolo4Carattere"/>
    <w:uiPriority w:val="99"/>
    <w:qFormat/>
    <w:rsid w:val="004B51F9"/>
    <w:pPr>
      <w:numPr>
        <w:ilvl w:val="3"/>
      </w:numPr>
      <w:tabs>
        <w:tab w:val="clear" w:pos="660"/>
        <w:tab w:val="clear" w:pos="880"/>
        <w:tab w:val="left" w:pos="940"/>
        <w:tab w:val="left" w:pos="1140"/>
        <w:tab w:val="left" w:pos="1360"/>
      </w:tabs>
      <w:jc w:val="left"/>
      <w:outlineLvl w:val="3"/>
    </w:pPr>
  </w:style>
  <w:style w:type="paragraph" w:styleId="Titolo5">
    <w:name w:val="heading 5"/>
    <w:basedOn w:val="Titolo4"/>
    <w:next w:val="Normale"/>
    <w:link w:val="Titolo5Carattere"/>
    <w:uiPriority w:val="99"/>
    <w:qFormat/>
    <w:rsid w:val="004B51F9"/>
    <w:pPr>
      <w:numPr>
        <w:ilvl w:val="4"/>
      </w:numPr>
      <w:tabs>
        <w:tab w:val="clear" w:pos="940"/>
        <w:tab w:val="clear" w:pos="1140"/>
        <w:tab w:val="clear" w:pos="1360"/>
      </w:tabs>
      <w:outlineLvl w:val="4"/>
    </w:pPr>
  </w:style>
  <w:style w:type="paragraph" w:styleId="Titolo6">
    <w:name w:val="heading 6"/>
    <w:basedOn w:val="Titolo5"/>
    <w:next w:val="Normale"/>
    <w:link w:val="Titolo6Carattere"/>
    <w:uiPriority w:val="99"/>
    <w:qFormat/>
    <w:rsid w:val="004B51F9"/>
    <w:pPr>
      <w:numPr>
        <w:ilvl w:val="5"/>
      </w:numPr>
      <w:outlineLvl w:val="5"/>
    </w:pPr>
  </w:style>
  <w:style w:type="paragraph" w:styleId="Titolo7">
    <w:name w:val="heading 7"/>
    <w:basedOn w:val="Titolo6"/>
    <w:next w:val="Normale"/>
    <w:link w:val="Titolo7Carattere"/>
    <w:uiPriority w:val="99"/>
    <w:qFormat/>
    <w:rsid w:val="004B51F9"/>
    <w:pPr>
      <w:numPr>
        <w:ilvl w:val="6"/>
      </w:numPr>
      <w:outlineLvl w:val="6"/>
    </w:pPr>
  </w:style>
  <w:style w:type="paragraph" w:styleId="Titolo8">
    <w:name w:val="heading 8"/>
    <w:basedOn w:val="Titolo6"/>
    <w:next w:val="Normale"/>
    <w:link w:val="Titolo8Carattere"/>
    <w:uiPriority w:val="99"/>
    <w:qFormat/>
    <w:rsid w:val="004B51F9"/>
    <w:pPr>
      <w:numPr>
        <w:ilvl w:val="7"/>
      </w:numPr>
      <w:outlineLvl w:val="7"/>
    </w:pPr>
  </w:style>
  <w:style w:type="paragraph" w:styleId="Titolo9">
    <w:name w:val="heading 9"/>
    <w:basedOn w:val="Titolo6"/>
    <w:next w:val="Normale"/>
    <w:link w:val="Titolo9Carattere"/>
    <w:uiPriority w:val="99"/>
    <w:qFormat/>
    <w:rsid w:val="004B51F9"/>
    <w:pPr>
      <w:numPr>
        <w:ilvl w:val="8"/>
      </w:numPr>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5z0">
    <w:name w:val="WW8Num5z0"/>
    <w:rsid w:val="00122DC1"/>
    <w:rPr>
      <w:rFonts w:ascii="Symbol" w:hAnsi="Symbol" w:cs="Symbol"/>
    </w:rPr>
  </w:style>
  <w:style w:type="character" w:customStyle="1" w:styleId="WW8Num6z0">
    <w:name w:val="WW8Num6z0"/>
    <w:rsid w:val="00122DC1"/>
    <w:rPr>
      <w:rFonts w:ascii="Symbol" w:hAnsi="Symbol" w:cs="Symbol"/>
    </w:rPr>
  </w:style>
  <w:style w:type="character" w:customStyle="1" w:styleId="WW8Num7z0">
    <w:name w:val="WW8Num7z0"/>
    <w:rsid w:val="00122DC1"/>
    <w:rPr>
      <w:rFonts w:ascii="Symbol" w:hAnsi="Symbol" w:cs="Symbol"/>
    </w:rPr>
  </w:style>
  <w:style w:type="character" w:customStyle="1" w:styleId="WW8Num8z0">
    <w:name w:val="WW8Num8z0"/>
    <w:rsid w:val="00122DC1"/>
    <w:rPr>
      <w:rFonts w:ascii="Symbol" w:hAnsi="Symbol" w:cs="Symbol"/>
    </w:rPr>
  </w:style>
  <w:style w:type="character" w:customStyle="1" w:styleId="WW8Num10z0">
    <w:name w:val="WW8Num10z0"/>
    <w:rsid w:val="00122DC1"/>
    <w:rPr>
      <w:rFonts w:ascii="Symbol" w:hAnsi="Symbol" w:cs="Symbol"/>
    </w:rPr>
  </w:style>
  <w:style w:type="character" w:customStyle="1" w:styleId="WW8Num12z0">
    <w:name w:val="WW8Num12z0"/>
    <w:rsid w:val="00122DC1"/>
    <w:rPr>
      <w:rFonts w:ascii="Symbol" w:hAnsi="Symbol" w:cs="Symbol"/>
    </w:rPr>
  </w:style>
  <w:style w:type="character" w:customStyle="1" w:styleId="WW8Num12z1">
    <w:name w:val="WW8Num12z1"/>
    <w:rsid w:val="00122DC1"/>
    <w:rPr>
      <w:rFonts w:ascii="Courier New" w:hAnsi="Courier New" w:cs="Courier New"/>
    </w:rPr>
  </w:style>
  <w:style w:type="character" w:customStyle="1" w:styleId="WW8Num12z2">
    <w:name w:val="WW8Num12z2"/>
    <w:rsid w:val="00122DC1"/>
    <w:rPr>
      <w:rFonts w:ascii="Wingdings" w:hAnsi="Wingdings" w:cs="Wingdings"/>
    </w:rPr>
  </w:style>
  <w:style w:type="character" w:customStyle="1" w:styleId="WW8Num13z0">
    <w:name w:val="WW8Num13z0"/>
    <w:rsid w:val="00122DC1"/>
    <w:rPr>
      <w:rFonts w:ascii="Calibri" w:eastAsia="Calibri" w:hAnsi="Calibri" w:cs="Times New Roman"/>
    </w:rPr>
  </w:style>
  <w:style w:type="character" w:customStyle="1" w:styleId="WW8Num13z1">
    <w:name w:val="WW8Num13z1"/>
    <w:rsid w:val="00122DC1"/>
    <w:rPr>
      <w:rFonts w:ascii="Courier New" w:hAnsi="Courier New" w:cs="Courier New"/>
    </w:rPr>
  </w:style>
  <w:style w:type="character" w:customStyle="1" w:styleId="WW8Num13z2">
    <w:name w:val="WW8Num13z2"/>
    <w:rsid w:val="00122DC1"/>
    <w:rPr>
      <w:rFonts w:ascii="Wingdings" w:hAnsi="Wingdings" w:cs="Wingdings"/>
    </w:rPr>
  </w:style>
  <w:style w:type="character" w:customStyle="1" w:styleId="WW8Num13z3">
    <w:name w:val="WW8Num13z3"/>
    <w:rsid w:val="00122DC1"/>
    <w:rPr>
      <w:rFonts w:ascii="Symbol" w:hAnsi="Symbol" w:cs="Symbol"/>
    </w:rPr>
  </w:style>
  <w:style w:type="character" w:customStyle="1" w:styleId="WW8Num15z0">
    <w:name w:val="WW8Num15z0"/>
    <w:rsid w:val="00122DC1"/>
    <w:rPr>
      <w:rFonts w:ascii="Century" w:eastAsia="Times New Roman" w:hAnsi="Century" w:cs="Times New Roman"/>
    </w:rPr>
  </w:style>
  <w:style w:type="character" w:customStyle="1" w:styleId="WW8Num15z1">
    <w:name w:val="WW8Num15z1"/>
    <w:rsid w:val="00122DC1"/>
    <w:rPr>
      <w:rFonts w:ascii="Courier New" w:hAnsi="Courier New" w:cs="Courier New"/>
    </w:rPr>
  </w:style>
  <w:style w:type="character" w:customStyle="1" w:styleId="WW8Num15z2">
    <w:name w:val="WW8Num15z2"/>
    <w:rsid w:val="00122DC1"/>
    <w:rPr>
      <w:rFonts w:ascii="Wingdings" w:hAnsi="Wingdings" w:cs="Wingdings"/>
    </w:rPr>
  </w:style>
  <w:style w:type="character" w:customStyle="1" w:styleId="WW8Num15z3">
    <w:name w:val="WW8Num15z3"/>
    <w:rsid w:val="00122DC1"/>
    <w:rPr>
      <w:rFonts w:ascii="Symbol" w:hAnsi="Symbol" w:cs="Symbol"/>
    </w:rPr>
  </w:style>
  <w:style w:type="character" w:customStyle="1" w:styleId="WW8Num16z1">
    <w:name w:val="WW8Num16z1"/>
    <w:rsid w:val="00122DC1"/>
    <w:rPr>
      <w:rFonts w:ascii="Symbol" w:eastAsia="Calibri" w:hAnsi="Symbol" w:cs="Times New Roman"/>
      <w:color w:val="000000"/>
    </w:rPr>
  </w:style>
  <w:style w:type="character" w:customStyle="1" w:styleId="WW8Num19z0">
    <w:name w:val="WW8Num19z0"/>
    <w:rsid w:val="00122DC1"/>
    <w:rPr>
      <w:rFonts w:ascii="Century" w:eastAsia="Times New Roman" w:hAnsi="Century" w:cs="Times New Roman"/>
    </w:rPr>
  </w:style>
  <w:style w:type="character" w:customStyle="1" w:styleId="WW8Num19z1">
    <w:name w:val="WW8Num19z1"/>
    <w:rsid w:val="00122DC1"/>
    <w:rPr>
      <w:rFonts w:ascii="Courier New" w:hAnsi="Courier New" w:cs="Courier New"/>
    </w:rPr>
  </w:style>
  <w:style w:type="character" w:customStyle="1" w:styleId="WW8Num19z2">
    <w:name w:val="WW8Num19z2"/>
    <w:rsid w:val="00122DC1"/>
    <w:rPr>
      <w:rFonts w:ascii="Wingdings" w:hAnsi="Wingdings" w:cs="Wingdings"/>
    </w:rPr>
  </w:style>
  <w:style w:type="character" w:customStyle="1" w:styleId="WW8Num19z3">
    <w:name w:val="WW8Num19z3"/>
    <w:rsid w:val="00122DC1"/>
    <w:rPr>
      <w:rFonts w:ascii="Symbol" w:hAnsi="Symbol" w:cs="Symbol"/>
    </w:rPr>
  </w:style>
  <w:style w:type="character" w:customStyle="1" w:styleId="WW8Num21z0">
    <w:name w:val="WW8Num21z0"/>
    <w:rsid w:val="00122DC1"/>
    <w:rPr>
      <w:rFonts w:ascii="Symbol" w:hAnsi="Symbol" w:cs="Symbol"/>
    </w:rPr>
  </w:style>
  <w:style w:type="character" w:customStyle="1" w:styleId="WW8Num21z1">
    <w:name w:val="WW8Num21z1"/>
    <w:rsid w:val="00122DC1"/>
    <w:rPr>
      <w:rFonts w:ascii="Courier New" w:hAnsi="Courier New" w:cs="Courier New"/>
    </w:rPr>
  </w:style>
  <w:style w:type="character" w:customStyle="1" w:styleId="WW8Num21z2">
    <w:name w:val="WW8Num21z2"/>
    <w:rsid w:val="00122DC1"/>
    <w:rPr>
      <w:rFonts w:ascii="Wingdings" w:hAnsi="Wingdings" w:cs="Wingdings"/>
    </w:rPr>
  </w:style>
  <w:style w:type="character" w:customStyle="1" w:styleId="WW8Num24z0">
    <w:name w:val="WW8Num24z0"/>
    <w:rsid w:val="00122DC1"/>
    <w:rPr>
      <w:rFonts w:ascii="Calibri" w:eastAsia="Calibri" w:hAnsi="Calibri" w:cs="Times New Roman"/>
    </w:rPr>
  </w:style>
  <w:style w:type="character" w:customStyle="1" w:styleId="WW8Num24z1">
    <w:name w:val="WW8Num24z1"/>
    <w:rsid w:val="00122DC1"/>
    <w:rPr>
      <w:rFonts w:ascii="Courier New" w:hAnsi="Courier New" w:cs="Courier New"/>
    </w:rPr>
  </w:style>
  <w:style w:type="character" w:customStyle="1" w:styleId="WW8Num24z2">
    <w:name w:val="WW8Num24z2"/>
    <w:rsid w:val="00122DC1"/>
    <w:rPr>
      <w:rFonts w:ascii="Wingdings" w:hAnsi="Wingdings" w:cs="Wingdings"/>
    </w:rPr>
  </w:style>
  <w:style w:type="character" w:customStyle="1" w:styleId="WW8Num24z3">
    <w:name w:val="WW8Num24z3"/>
    <w:rsid w:val="00122DC1"/>
    <w:rPr>
      <w:rFonts w:ascii="Symbol" w:hAnsi="Symbol" w:cs="Symbol"/>
    </w:rPr>
  </w:style>
  <w:style w:type="character" w:customStyle="1" w:styleId="WW8Num25z0">
    <w:name w:val="WW8Num25z0"/>
    <w:rsid w:val="00122DC1"/>
    <w:rPr>
      <w:rFonts w:ascii="Symbol" w:hAnsi="Symbol" w:cs="Symbol"/>
    </w:rPr>
  </w:style>
  <w:style w:type="character" w:customStyle="1" w:styleId="WW8Num25z1">
    <w:name w:val="WW8Num25z1"/>
    <w:rsid w:val="00122DC1"/>
    <w:rPr>
      <w:rFonts w:ascii="Courier New" w:hAnsi="Courier New" w:cs="Courier New"/>
    </w:rPr>
  </w:style>
  <w:style w:type="character" w:customStyle="1" w:styleId="WW8Num25z2">
    <w:name w:val="WW8Num25z2"/>
    <w:rsid w:val="00122DC1"/>
    <w:rPr>
      <w:rFonts w:ascii="Wingdings" w:hAnsi="Wingdings" w:cs="Wingdings"/>
    </w:rPr>
  </w:style>
  <w:style w:type="character" w:customStyle="1" w:styleId="WW8Num33z0">
    <w:name w:val="WW8Num33z0"/>
    <w:rsid w:val="00122DC1"/>
    <w:rPr>
      <w:rFonts w:ascii="Symbol" w:hAnsi="Symbol" w:cs="Symbol"/>
    </w:rPr>
  </w:style>
  <w:style w:type="character" w:customStyle="1" w:styleId="WW8Num33z1">
    <w:name w:val="WW8Num33z1"/>
    <w:rsid w:val="00122DC1"/>
    <w:rPr>
      <w:rFonts w:ascii="Courier New" w:hAnsi="Courier New" w:cs="Courier New"/>
    </w:rPr>
  </w:style>
  <w:style w:type="character" w:customStyle="1" w:styleId="WW8Num33z2">
    <w:name w:val="WW8Num33z2"/>
    <w:rsid w:val="00122DC1"/>
    <w:rPr>
      <w:rFonts w:ascii="Wingdings" w:hAnsi="Wingdings" w:cs="Wingdings"/>
    </w:rPr>
  </w:style>
  <w:style w:type="character" w:customStyle="1" w:styleId="WW8Num36z0">
    <w:name w:val="WW8Num36z0"/>
    <w:rsid w:val="00122DC1"/>
    <w:rPr>
      <w:rFonts w:ascii="Symbol" w:hAnsi="Symbol" w:cs="Symbol"/>
    </w:rPr>
  </w:style>
  <w:style w:type="character" w:customStyle="1" w:styleId="WW8Num36z1">
    <w:name w:val="WW8Num36z1"/>
    <w:rsid w:val="00122DC1"/>
    <w:rPr>
      <w:rFonts w:ascii="Courier New" w:hAnsi="Courier New" w:cs="Courier New"/>
    </w:rPr>
  </w:style>
  <w:style w:type="character" w:customStyle="1" w:styleId="WW8Num36z2">
    <w:name w:val="WW8Num36z2"/>
    <w:rsid w:val="00122DC1"/>
    <w:rPr>
      <w:rFonts w:ascii="Wingdings" w:hAnsi="Wingdings" w:cs="Wingdings"/>
    </w:rPr>
  </w:style>
  <w:style w:type="character" w:customStyle="1" w:styleId="WW8Num39z2">
    <w:name w:val="WW8Num39z2"/>
    <w:rsid w:val="00122DC1"/>
    <w:rPr>
      <w:b/>
    </w:rPr>
  </w:style>
  <w:style w:type="character" w:customStyle="1" w:styleId="WW8Num43z0">
    <w:name w:val="WW8Num43z0"/>
    <w:rsid w:val="00122DC1"/>
    <w:rPr>
      <w:rFonts w:ascii="Wingdings" w:hAnsi="Wingdings" w:cs="Wingdings"/>
    </w:rPr>
  </w:style>
  <w:style w:type="character" w:customStyle="1" w:styleId="WW8Num43z1">
    <w:name w:val="WW8Num43z1"/>
    <w:rsid w:val="00122DC1"/>
    <w:rPr>
      <w:rFonts w:ascii="Courier New" w:hAnsi="Courier New" w:cs="Courier New"/>
    </w:rPr>
  </w:style>
  <w:style w:type="character" w:customStyle="1" w:styleId="WW8Num43z3">
    <w:name w:val="WW8Num43z3"/>
    <w:rsid w:val="00122DC1"/>
    <w:rPr>
      <w:rFonts w:ascii="Symbol" w:hAnsi="Symbol" w:cs="Symbol"/>
    </w:rPr>
  </w:style>
  <w:style w:type="character" w:customStyle="1" w:styleId="WW8Num44z0">
    <w:name w:val="WW8Num44z0"/>
    <w:rsid w:val="00122DC1"/>
    <w:rPr>
      <w:rFonts w:ascii="Symbol" w:hAnsi="Symbol" w:cs="Symbol"/>
    </w:rPr>
  </w:style>
  <w:style w:type="character" w:customStyle="1" w:styleId="WW8Num44z1">
    <w:name w:val="WW8Num44z1"/>
    <w:rsid w:val="00122DC1"/>
    <w:rPr>
      <w:rFonts w:ascii="Courier New" w:hAnsi="Courier New" w:cs="Courier New"/>
    </w:rPr>
  </w:style>
  <w:style w:type="character" w:customStyle="1" w:styleId="WW8Num44z2">
    <w:name w:val="WW8Num44z2"/>
    <w:rsid w:val="00122DC1"/>
    <w:rPr>
      <w:rFonts w:ascii="Wingdings" w:hAnsi="Wingdings" w:cs="Wingdings"/>
    </w:rPr>
  </w:style>
  <w:style w:type="character" w:customStyle="1" w:styleId="Carpredefinitoparagrafo1">
    <w:name w:val="Car. predefinito paragrafo1"/>
    <w:rsid w:val="00122DC1"/>
  </w:style>
  <w:style w:type="character" w:customStyle="1" w:styleId="IntestazioneCarattere">
    <w:name w:val="Intestazione Carattere"/>
    <w:basedOn w:val="Carpredefinitoparagrafo1"/>
    <w:uiPriority w:val="99"/>
    <w:rsid w:val="00122DC1"/>
  </w:style>
  <w:style w:type="character" w:customStyle="1" w:styleId="PidipaginaCarattere">
    <w:name w:val="Piè di pagina Carattere"/>
    <w:basedOn w:val="Carpredefinitoparagrafo1"/>
    <w:uiPriority w:val="99"/>
    <w:rsid w:val="00122DC1"/>
  </w:style>
  <w:style w:type="character" w:customStyle="1" w:styleId="Caratteredellanota">
    <w:name w:val="Carattere della nota"/>
    <w:rsid w:val="00122DC1"/>
    <w:rPr>
      <w:vertAlign w:val="superscript"/>
    </w:rPr>
  </w:style>
  <w:style w:type="character" w:customStyle="1" w:styleId="MappadocumentoCarattere">
    <w:name w:val="Mappa documento Carattere"/>
    <w:rsid w:val="00122DC1"/>
    <w:rPr>
      <w:rFonts w:ascii="Tahoma" w:hAnsi="Tahoma" w:cs="Tahoma"/>
      <w:sz w:val="16"/>
      <w:szCs w:val="16"/>
    </w:rPr>
  </w:style>
  <w:style w:type="character" w:customStyle="1" w:styleId="TestofumettoCarattere">
    <w:name w:val="Testo fumetto Carattere"/>
    <w:uiPriority w:val="99"/>
    <w:rsid w:val="00122DC1"/>
    <w:rPr>
      <w:rFonts w:ascii="Tahoma" w:hAnsi="Tahoma" w:cs="Tahoma"/>
      <w:sz w:val="16"/>
      <w:szCs w:val="16"/>
    </w:rPr>
  </w:style>
  <w:style w:type="character" w:customStyle="1" w:styleId="WW-Caratteredellanota">
    <w:name w:val="WW-Carattere della nota"/>
    <w:rsid w:val="00122DC1"/>
    <w:rPr>
      <w:vertAlign w:val="superscript"/>
    </w:rPr>
  </w:style>
  <w:style w:type="character" w:customStyle="1" w:styleId="TestonotaapidipaginaCarattere">
    <w:name w:val="Testo nota a piè di pagina Carattere"/>
    <w:rsid w:val="00122DC1"/>
  </w:style>
  <w:style w:type="character" w:styleId="Rimandonotaapidipagina">
    <w:name w:val="footnote reference"/>
    <w:uiPriority w:val="99"/>
    <w:rsid w:val="00122DC1"/>
    <w:rPr>
      <w:vertAlign w:val="superscript"/>
    </w:rPr>
  </w:style>
  <w:style w:type="character" w:styleId="Rimandonotadichiusura">
    <w:name w:val="endnote reference"/>
    <w:rsid w:val="00122DC1"/>
    <w:rPr>
      <w:vertAlign w:val="superscript"/>
    </w:rPr>
  </w:style>
  <w:style w:type="character" w:customStyle="1" w:styleId="Caratterenotadichiusura">
    <w:name w:val="Carattere nota di chiusura"/>
    <w:rsid w:val="00122DC1"/>
  </w:style>
  <w:style w:type="paragraph" w:customStyle="1" w:styleId="Intestazione1">
    <w:name w:val="Intestazione1"/>
    <w:basedOn w:val="Normale"/>
    <w:next w:val="Corpotesto"/>
    <w:rsid w:val="00122DC1"/>
    <w:pPr>
      <w:keepNext/>
      <w:spacing w:before="240" w:after="120"/>
    </w:pPr>
    <w:rPr>
      <w:rFonts w:eastAsia="WenQuanYi Micro Hei" w:cs="Lohit Hindi"/>
      <w:sz w:val="28"/>
      <w:szCs w:val="28"/>
    </w:rPr>
  </w:style>
  <w:style w:type="paragraph" w:styleId="Corpotesto">
    <w:name w:val="Body Text"/>
    <w:basedOn w:val="Normale"/>
    <w:link w:val="CorpotestoCarattere"/>
    <w:rsid w:val="00122DC1"/>
    <w:pPr>
      <w:spacing w:after="120"/>
    </w:pPr>
    <w:rPr>
      <w:rFonts w:cs="Times New Roman"/>
    </w:rPr>
  </w:style>
  <w:style w:type="paragraph" w:styleId="Elenco">
    <w:name w:val="List"/>
    <w:basedOn w:val="Corpotesto"/>
    <w:rsid w:val="00122DC1"/>
    <w:rPr>
      <w:rFonts w:cs="Lohit Hindi"/>
    </w:rPr>
  </w:style>
  <w:style w:type="paragraph" w:customStyle="1" w:styleId="Didascalia1">
    <w:name w:val="Didascalia1"/>
    <w:basedOn w:val="Normale"/>
    <w:rsid w:val="00122DC1"/>
    <w:pPr>
      <w:suppressLineNumbers/>
      <w:spacing w:before="120" w:after="120"/>
    </w:pPr>
    <w:rPr>
      <w:rFonts w:cs="Lohit Hindi"/>
      <w:i/>
      <w:iCs/>
      <w:sz w:val="24"/>
      <w:szCs w:val="24"/>
    </w:rPr>
  </w:style>
  <w:style w:type="paragraph" w:customStyle="1" w:styleId="Indice">
    <w:name w:val="Indice"/>
    <w:basedOn w:val="Normale"/>
    <w:rsid w:val="00122DC1"/>
    <w:pPr>
      <w:suppressLineNumbers/>
    </w:pPr>
    <w:rPr>
      <w:rFonts w:cs="Lohit Hindi"/>
    </w:rPr>
  </w:style>
  <w:style w:type="paragraph" w:styleId="Paragrafoelenco">
    <w:name w:val="List Paragraph"/>
    <w:basedOn w:val="Elenco"/>
    <w:uiPriority w:val="34"/>
    <w:qFormat/>
    <w:rsid w:val="004B51F9"/>
    <w:pPr>
      <w:numPr>
        <w:ilvl w:val="2"/>
        <w:numId w:val="4"/>
      </w:numPr>
    </w:pPr>
    <w:rPr>
      <w:b/>
      <w:color w:val="000000"/>
    </w:rPr>
  </w:style>
  <w:style w:type="paragraph" w:styleId="Intestazione">
    <w:name w:val="header"/>
    <w:basedOn w:val="Normale"/>
    <w:uiPriority w:val="99"/>
    <w:rsid w:val="00122DC1"/>
    <w:pPr>
      <w:spacing w:line="240" w:lineRule="auto"/>
    </w:pPr>
  </w:style>
  <w:style w:type="paragraph" w:styleId="Pidipagina">
    <w:name w:val="footer"/>
    <w:basedOn w:val="Normale"/>
    <w:uiPriority w:val="99"/>
    <w:rsid w:val="00122DC1"/>
    <w:pPr>
      <w:spacing w:line="240" w:lineRule="auto"/>
    </w:pPr>
  </w:style>
  <w:style w:type="paragraph" w:styleId="Testonotaapidipagina">
    <w:name w:val="footnote text"/>
    <w:basedOn w:val="Normale"/>
    <w:rsid w:val="00122DC1"/>
    <w:rPr>
      <w:sz w:val="20"/>
      <w:szCs w:val="20"/>
    </w:rPr>
  </w:style>
  <w:style w:type="paragraph" w:customStyle="1" w:styleId="Mappadocumento1">
    <w:name w:val="Mappa documento1"/>
    <w:basedOn w:val="Normale"/>
    <w:rsid w:val="00122DC1"/>
    <w:rPr>
      <w:rFonts w:ascii="Tahoma" w:hAnsi="Tahoma" w:cs="Tahoma"/>
      <w:sz w:val="16"/>
      <w:szCs w:val="16"/>
    </w:rPr>
  </w:style>
  <w:style w:type="paragraph" w:styleId="Testofumetto">
    <w:name w:val="Balloon Text"/>
    <w:basedOn w:val="Normale"/>
    <w:uiPriority w:val="99"/>
    <w:rsid w:val="00122DC1"/>
    <w:pPr>
      <w:spacing w:line="240" w:lineRule="auto"/>
    </w:pPr>
    <w:rPr>
      <w:rFonts w:ascii="Tahoma" w:hAnsi="Tahoma" w:cs="Tahoma"/>
      <w:sz w:val="16"/>
      <w:szCs w:val="16"/>
    </w:rPr>
  </w:style>
  <w:style w:type="paragraph" w:customStyle="1" w:styleId="Contenutotabella">
    <w:name w:val="Contenuto tabella"/>
    <w:basedOn w:val="Normale"/>
    <w:rsid w:val="00122DC1"/>
    <w:pPr>
      <w:suppressLineNumbers/>
    </w:pPr>
  </w:style>
  <w:style w:type="paragraph" w:customStyle="1" w:styleId="Intestazionetabella">
    <w:name w:val="Intestazione tabella"/>
    <w:basedOn w:val="Contenutotabella"/>
    <w:rsid w:val="00122DC1"/>
    <w:pPr>
      <w:jc w:val="center"/>
    </w:pPr>
    <w:rPr>
      <w:b/>
      <w:bCs/>
    </w:rPr>
  </w:style>
  <w:style w:type="table" w:styleId="Grigliatabella">
    <w:name w:val="Table Grid"/>
    <w:basedOn w:val="Tabellanormale"/>
    <w:uiPriority w:val="59"/>
    <w:rsid w:val="006D1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9"/>
    <w:rsid w:val="004B51F9"/>
    <w:rPr>
      <w:rFonts w:cs="Times New Roman"/>
      <w:b/>
      <w:bCs/>
      <w:kern w:val="32"/>
      <w:sz w:val="22"/>
      <w:szCs w:val="32"/>
      <w:lang w:eastAsia="ar-SA"/>
    </w:rPr>
  </w:style>
  <w:style w:type="paragraph" w:styleId="Titolosommario">
    <w:name w:val="TOC Heading"/>
    <w:basedOn w:val="Titolo1"/>
    <w:next w:val="Normale"/>
    <w:uiPriority w:val="39"/>
    <w:semiHidden/>
    <w:unhideWhenUsed/>
    <w:qFormat/>
    <w:rsid w:val="004B51F9"/>
    <w:pPr>
      <w:keepLines/>
      <w:numPr>
        <w:numId w:val="0"/>
      </w:numPr>
      <w:spacing w:before="480" w:after="0"/>
      <w:outlineLvl w:val="9"/>
    </w:pPr>
    <w:rPr>
      <w:color w:val="365F91"/>
      <w:kern w:val="0"/>
      <w:sz w:val="28"/>
      <w:szCs w:val="28"/>
      <w:lang w:eastAsia="en-US"/>
    </w:rPr>
  </w:style>
  <w:style w:type="paragraph" w:styleId="Sommario2">
    <w:name w:val="toc 2"/>
    <w:basedOn w:val="Normale"/>
    <w:next w:val="Normale"/>
    <w:autoRedefine/>
    <w:uiPriority w:val="39"/>
    <w:unhideWhenUsed/>
    <w:qFormat/>
    <w:rsid w:val="004B51F9"/>
    <w:pPr>
      <w:tabs>
        <w:tab w:val="left" w:pos="660"/>
        <w:tab w:val="right" w:leader="dot" w:pos="10195"/>
      </w:tabs>
      <w:spacing w:before="240"/>
      <w:ind w:left="113"/>
      <w:jc w:val="left"/>
    </w:pPr>
    <w:rPr>
      <w:rFonts w:eastAsia="Arial Unicode MS"/>
      <w:b/>
      <w:iCs/>
      <w:noProof/>
      <w:sz w:val="20"/>
      <w:szCs w:val="20"/>
    </w:rPr>
  </w:style>
  <w:style w:type="paragraph" w:styleId="Sommario1">
    <w:name w:val="toc 1"/>
    <w:basedOn w:val="Normale"/>
    <w:next w:val="Normale"/>
    <w:autoRedefine/>
    <w:uiPriority w:val="39"/>
    <w:unhideWhenUsed/>
    <w:qFormat/>
    <w:rsid w:val="004B51F9"/>
    <w:pPr>
      <w:tabs>
        <w:tab w:val="right" w:leader="dot" w:pos="10195"/>
      </w:tabs>
      <w:spacing w:before="240" w:after="120" w:line="360" w:lineRule="auto"/>
      <w:jc w:val="left"/>
    </w:pPr>
    <w:rPr>
      <w:rFonts w:cs="Calibri"/>
      <w:b/>
      <w:bCs/>
      <w:sz w:val="20"/>
      <w:szCs w:val="20"/>
    </w:rPr>
  </w:style>
  <w:style w:type="paragraph" w:styleId="Sommario3">
    <w:name w:val="toc 3"/>
    <w:basedOn w:val="Normale"/>
    <w:next w:val="Normale"/>
    <w:autoRedefine/>
    <w:uiPriority w:val="39"/>
    <w:unhideWhenUsed/>
    <w:qFormat/>
    <w:rsid w:val="004B51F9"/>
    <w:pPr>
      <w:tabs>
        <w:tab w:val="right" w:leader="dot" w:pos="10195"/>
      </w:tabs>
      <w:spacing w:before="120"/>
      <w:ind w:left="113"/>
      <w:jc w:val="left"/>
    </w:pPr>
    <w:rPr>
      <w:rFonts w:cs="Calibri"/>
      <w:b/>
      <w:sz w:val="20"/>
      <w:szCs w:val="20"/>
    </w:rPr>
  </w:style>
  <w:style w:type="paragraph" w:styleId="Sommario4">
    <w:name w:val="toc 4"/>
    <w:basedOn w:val="Normale"/>
    <w:next w:val="Normale"/>
    <w:autoRedefine/>
    <w:uiPriority w:val="39"/>
    <w:unhideWhenUsed/>
    <w:rsid w:val="00553B96"/>
    <w:pPr>
      <w:ind w:left="660"/>
      <w:jc w:val="left"/>
    </w:pPr>
    <w:rPr>
      <w:rFonts w:ascii="Calibri" w:hAnsi="Calibri" w:cs="Calibri"/>
      <w:sz w:val="20"/>
      <w:szCs w:val="20"/>
    </w:rPr>
  </w:style>
  <w:style w:type="paragraph" w:styleId="Sommario5">
    <w:name w:val="toc 5"/>
    <w:basedOn w:val="Normale"/>
    <w:next w:val="Normale"/>
    <w:autoRedefine/>
    <w:uiPriority w:val="39"/>
    <w:unhideWhenUsed/>
    <w:rsid w:val="00553B96"/>
    <w:pPr>
      <w:ind w:left="880"/>
      <w:jc w:val="left"/>
    </w:pPr>
    <w:rPr>
      <w:rFonts w:ascii="Calibri" w:hAnsi="Calibri" w:cs="Calibri"/>
      <w:sz w:val="20"/>
      <w:szCs w:val="20"/>
    </w:rPr>
  </w:style>
  <w:style w:type="paragraph" w:styleId="Sommario6">
    <w:name w:val="toc 6"/>
    <w:basedOn w:val="Normale"/>
    <w:next w:val="Normale"/>
    <w:autoRedefine/>
    <w:uiPriority w:val="39"/>
    <w:unhideWhenUsed/>
    <w:rsid w:val="00553B96"/>
    <w:pPr>
      <w:ind w:left="1100"/>
      <w:jc w:val="left"/>
    </w:pPr>
    <w:rPr>
      <w:rFonts w:ascii="Calibri" w:hAnsi="Calibri" w:cs="Calibri"/>
      <w:sz w:val="20"/>
      <w:szCs w:val="20"/>
    </w:rPr>
  </w:style>
  <w:style w:type="paragraph" w:styleId="Sommario7">
    <w:name w:val="toc 7"/>
    <w:basedOn w:val="Normale"/>
    <w:next w:val="Normale"/>
    <w:autoRedefine/>
    <w:uiPriority w:val="39"/>
    <w:unhideWhenUsed/>
    <w:rsid w:val="00553B96"/>
    <w:pPr>
      <w:ind w:left="1320"/>
      <w:jc w:val="left"/>
    </w:pPr>
    <w:rPr>
      <w:rFonts w:ascii="Calibri" w:hAnsi="Calibri" w:cs="Calibri"/>
      <w:sz w:val="20"/>
      <w:szCs w:val="20"/>
    </w:rPr>
  </w:style>
  <w:style w:type="paragraph" w:styleId="Sommario8">
    <w:name w:val="toc 8"/>
    <w:basedOn w:val="Normale"/>
    <w:next w:val="Normale"/>
    <w:autoRedefine/>
    <w:uiPriority w:val="39"/>
    <w:unhideWhenUsed/>
    <w:rsid w:val="00553B96"/>
    <w:pPr>
      <w:ind w:left="1540"/>
      <w:jc w:val="left"/>
    </w:pPr>
    <w:rPr>
      <w:rFonts w:ascii="Calibri" w:hAnsi="Calibri" w:cs="Calibri"/>
      <w:sz w:val="20"/>
      <w:szCs w:val="20"/>
    </w:rPr>
  </w:style>
  <w:style w:type="paragraph" w:styleId="Sommario9">
    <w:name w:val="toc 9"/>
    <w:basedOn w:val="Normale"/>
    <w:next w:val="Normale"/>
    <w:autoRedefine/>
    <w:uiPriority w:val="39"/>
    <w:unhideWhenUsed/>
    <w:rsid w:val="00553B96"/>
    <w:pPr>
      <w:ind w:left="1760"/>
      <w:jc w:val="left"/>
    </w:pPr>
    <w:rPr>
      <w:rFonts w:ascii="Calibri" w:hAnsi="Calibri" w:cs="Calibri"/>
      <w:sz w:val="20"/>
      <w:szCs w:val="20"/>
    </w:rPr>
  </w:style>
  <w:style w:type="character" w:styleId="Collegamentoipertestuale">
    <w:name w:val="Hyperlink"/>
    <w:uiPriority w:val="99"/>
    <w:unhideWhenUsed/>
    <w:rsid w:val="00553B96"/>
    <w:rPr>
      <w:color w:val="0000FF"/>
      <w:u w:val="single"/>
    </w:rPr>
  </w:style>
  <w:style w:type="paragraph" w:customStyle="1" w:styleId="Stile1">
    <w:name w:val="Stile1"/>
    <w:basedOn w:val="Titolo1"/>
    <w:qFormat/>
    <w:rsid w:val="004B51F9"/>
    <w:pPr>
      <w:numPr>
        <w:numId w:val="0"/>
      </w:numPr>
    </w:pPr>
  </w:style>
  <w:style w:type="paragraph" w:styleId="Titolo">
    <w:name w:val="Title"/>
    <w:basedOn w:val="Normale"/>
    <w:next w:val="Normale"/>
    <w:link w:val="TitoloCarattere"/>
    <w:uiPriority w:val="10"/>
    <w:rsid w:val="00195931"/>
    <w:pPr>
      <w:spacing w:before="240" w:after="60"/>
      <w:jc w:val="center"/>
      <w:outlineLvl w:val="0"/>
    </w:pPr>
    <w:rPr>
      <w:rFonts w:ascii="Cambria" w:eastAsia="Times New Roman" w:hAnsi="Cambria" w:cs="Times New Roman"/>
      <w:b/>
      <w:bCs/>
      <w:kern w:val="28"/>
      <w:sz w:val="32"/>
      <w:szCs w:val="32"/>
    </w:rPr>
  </w:style>
  <w:style w:type="character" w:customStyle="1" w:styleId="TitoloCarattere">
    <w:name w:val="Titolo Carattere"/>
    <w:link w:val="Titolo"/>
    <w:uiPriority w:val="10"/>
    <w:rsid w:val="00195931"/>
    <w:rPr>
      <w:rFonts w:ascii="Cambria" w:eastAsia="Times New Roman" w:hAnsi="Cambria" w:cs="Times New Roman"/>
      <w:b/>
      <w:bCs/>
      <w:kern w:val="28"/>
      <w:sz w:val="32"/>
      <w:szCs w:val="32"/>
      <w:lang w:eastAsia="ar-SA"/>
    </w:rPr>
  </w:style>
  <w:style w:type="paragraph" w:styleId="Sottotitolo">
    <w:name w:val="Subtitle"/>
    <w:basedOn w:val="Normale"/>
    <w:next w:val="Normale"/>
    <w:link w:val="SottotitoloCarattere"/>
    <w:uiPriority w:val="11"/>
    <w:qFormat/>
    <w:rsid w:val="004B51F9"/>
    <w:pPr>
      <w:spacing w:after="60"/>
      <w:jc w:val="center"/>
      <w:outlineLvl w:val="1"/>
    </w:pPr>
    <w:rPr>
      <w:rFonts w:ascii="Cambria" w:eastAsia="Times New Roman" w:hAnsi="Cambria" w:cs="Times New Roman"/>
      <w:sz w:val="24"/>
      <w:szCs w:val="24"/>
    </w:rPr>
  </w:style>
  <w:style w:type="character" w:customStyle="1" w:styleId="SottotitoloCarattere">
    <w:name w:val="Sottotitolo Carattere"/>
    <w:link w:val="Sottotitolo"/>
    <w:uiPriority w:val="11"/>
    <w:rsid w:val="004B51F9"/>
    <w:rPr>
      <w:rFonts w:ascii="Cambria" w:hAnsi="Cambria" w:cs="Times New Roman"/>
      <w:sz w:val="24"/>
      <w:szCs w:val="24"/>
      <w:lang w:eastAsia="ar-SA"/>
    </w:rPr>
  </w:style>
  <w:style w:type="numbering" w:customStyle="1" w:styleId="StileStrutturaLatinoArialGrassettoNeroSinistro0cm">
    <w:name w:val="Stile Struttura (Latino) Arial Grassetto Nero Sinistro:  0 cm ..."/>
    <w:basedOn w:val="Nessunelenco"/>
    <w:rsid w:val="00820EFD"/>
    <w:pPr>
      <w:numPr>
        <w:numId w:val="2"/>
      </w:numPr>
    </w:pPr>
  </w:style>
  <w:style w:type="character" w:customStyle="1" w:styleId="Titolo2Carattere">
    <w:name w:val="Titolo 2 Carattere"/>
    <w:link w:val="Titolo2"/>
    <w:uiPriority w:val="99"/>
    <w:rsid w:val="00CA5773"/>
    <w:rPr>
      <w:rFonts w:cs="Times New Roman"/>
      <w:b/>
      <w:iCs/>
      <w:kern w:val="32"/>
      <w:sz w:val="22"/>
      <w:szCs w:val="28"/>
      <w:lang w:eastAsia="ar-SA"/>
    </w:rPr>
  </w:style>
  <w:style w:type="character" w:customStyle="1" w:styleId="Titolo3Carattere">
    <w:name w:val="Titolo 3 Carattere"/>
    <w:link w:val="Titolo3"/>
    <w:uiPriority w:val="99"/>
    <w:rsid w:val="004B51F9"/>
    <w:rPr>
      <w:rFonts w:eastAsia="MS Mincho" w:cs="Times New Roman"/>
      <w:b/>
      <w:sz w:val="22"/>
      <w:lang w:eastAsia="fr-FR"/>
    </w:rPr>
  </w:style>
  <w:style w:type="character" w:customStyle="1" w:styleId="Titolo4Carattere">
    <w:name w:val="Titolo 4 Carattere"/>
    <w:link w:val="Titolo4"/>
    <w:uiPriority w:val="99"/>
    <w:rsid w:val="004B51F9"/>
    <w:rPr>
      <w:rFonts w:eastAsia="MS Mincho" w:cs="Times New Roman"/>
      <w:b/>
      <w:sz w:val="22"/>
      <w:lang w:eastAsia="fr-FR"/>
    </w:rPr>
  </w:style>
  <w:style w:type="character" w:customStyle="1" w:styleId="Titolo5Carattere">
    <w:name w:val="Titolo 5 Carattere"/>
    <w:link w:val="Titolo5"/>
    <w:uiPriority w:val="99"/>
    <w:rsid w:val="004B51F9"/>
    <w:rPr>
      <w:rFonts w:eastAsia="MS Mincho" w:cs="Times New Roman"/>
      <w:b/>
      <w:sz w:val="22"/>
      <w:lang w:eastAsia="fr-FR"/>
    </w:rPr>
  </w:style>
  <w:style w:type="character" w:customStyle="1" w:styleId="Titolo6Carattere">
    <w:name w:val="Titolo 6 Carattere"/>
    <w:link w:val="Titolo6"/>
    <w:uiPriority w:val="99"/>
    <w:rsid w:val="004B51F9"/>
    <w:rPr>
      <w:rFonts w:eastAsia="MS Mincho" w:cs="Times New Roman"/>
      <w:b/>
      <w:sz w:val="22"/>
      <w:lang w:eastAsia="fr-FR"/>
    </w:rPr>
  </w:style>
  <w:style w:type="character" w:customStyle="1" w:styleId="Titolo7Carattere">
    <w:name w:val="Titolo 7 Carattere"/>
    <w:link w:val="Titolo7"/>
    <w:uiPriority w:val="99"/>
    <w:rsid w:val="004B51F9"/>
    <w:rPr>
      <w:rFonts w:eastAsia="MS Mincho" w:cs="Times New Roman"/>
      <w:b/>
      <w:sz w:val="22"/>
      <w:lang w:eastAsia="fr-FR"/>
    </w:rPr>
  </w:style>
  <w:style w:type="character" w:customStyle="1" w:styleId="Titolo8Carattere">
    <w:name w:val="Titolo 8 Carattere"/>
    <w:link w:val="Titolo8"/>
    <w:uiPriority w:val="99"/>
    <w:rsid w:val="004B51F9"/>
    <w:rPr>
      <w:rFonts w:eastAsia="MS Mincho" w:cs="Times New Roman"/>
      <w:b/>
      <w:sz w:val="22"/>
      <w:lang w:eastAsia="fr-FR"/>
    </w:rPr>
  </w:style>
  <w:style w:type="character" w:customStyle="1" w:styleId="Titolo9Carattere">
    <w:name w:val="Titolo 9 Carattere"/>
    <w:link w:val="Titolo9"/>
    <w:uiPriority w:val="99"/>
    <w:rsid w:val="004B51F9"/>
    <w:rPr>
      <w:rFonts w:eastAsia="MS Mincho" w:cs="Times New Roman"/>
      <w:b/>
      <w:sz w:val="22"/>
      <w:lang w:eastAsia="fr-FR"/>
    </w:rPr>
  </w:style>
  <w:style w:type="paragraph" w:customStyle="1" w:styleId="Note">
    <w:name w:val="Note"/>
    <w:basedOn w:val="Normale"/>
    <w:next w:val="Normale"/>
    <w:rsid w:val="00BB2237"/>
    <w:pPr>
      <w:tabs>
        <w:tab w:val="left" w:pos="960"/>
      </w:tabs>
      <w:spacing w:after="240" w:line="210" w:lineRule="atLeast"/>
    </w:pPr>
    <w:rPr>
      <w:rFonts w:eastAsia="MS Mincho" w:cs="Times New Roman"/>
      <w:sz w:val="18"/>
      <w:szCs w:val="20"/>
      <w:lang w:val="en-GB" w:eastAsia="fr-FR"/>
    </w:rPr>
  </w:style>
  <w:style w:type="character" w:styleId="Enfasigrassetto">
    <w:name w:val="Strong"/>
    <w:uiPriority w:val="22"/>
    <w:qFormat/>
    <w:rsid w:val="004B51F9"/>
    <w:rPr>
      <w:b/>
      <w:bCs/>
    </w:rPr>
  </w:style>
  <w:style w:type="character" w:customStyle="1" w:styleId="CorpotestoCarattere">
    <w:name w:val="Corpo testo Carattere"/>
    <w:link w:val="Corpotesto"/>
    <w:rsid w:val="003C2044"/>
    <w:rPr>
      <w:rFonts w:eastAsia="Calibri"/>
      <w:sz w:val="22"/>
      <w:szCs w:val="22"/>
      <w:lang w:eastAsia="ar-SA"/>
    </w:rPr>
  </w:style>
  <w:style w:type="character" w:styleId="Enfasicorsivo">
    <w:name w:val="Emphasis"/>
    <w:uiPriority w:val="20"/>
    <w:qFormat/>
    <w:rsid w:val="004B51F9"/>
    <w:rPr>
      <w:i/>
      <w:iCs/>
    </w:rPr>
  </w:style>
  <w:style w:type="character" w:customStyle="1" w:styleId="standardtitologrigio2">
    <w:name w:val="standardtitologrigio2"/>
    <w:rsid w:val="00FA7DFC"/>
  </w:style>
  <w:style w:type="paragraph" w:styleId="NormaleWeb">
    <w:name w:val="Normal (Web)"/>
    <w:basedOn w:val="Normale"/>
    <w:unhideWhenUsed/>
    <w:rsid w:val="000B4185"/>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customStyle="1" w:styleId="contenuto2">
    <w:name w:val="contenuto2"/>
    <w:rsid w:val="00113CDF"/>
    <w:rPr>
      <w:vanish w:val="0"/>
      <w:webHidden w:val="0"/>
      <w:specVanish w:val="0"/>
    </w:rPr>
  </w:style>
  <w:style w:type="character" w:customStyle="1" w:styleId="mw-headline">
    <w:name w:val="mw-headline"/>
    <w:rsid w:val="00175832"/>
  </w:style>
  <w:style w:type="character" w:customStyle="1" w:styleId="editsection">
    <w:name w:val="editsection"/>
    <w:rsid w:val="00175832"/>
  </w:style>
  <w:style w:type="character" w:customStyle="1" w:styleId="reference-text">
    <w:name w:val="reference-text"/>
    <w:rsid w:val="00423562"/>
  </w:style>
  <w:style w:type="paragraph" w:customStyle="1" w:styleId="Default">
    <w:name w:val="Default"/>
    <w:rsid w:val="00A66F3A"/>
    <w:pPr>
      <w:autoSpaceDE w:val="0"/>
      <w:autoSpaceDN w:val="0"/>
      <w:adjustRightInd w:val="0"/>
    </w:pPr>
    <w:rPr>
      <w:rFonts w:ascii="Bitstream Vera Sans" w:hAnsi="Bitstream Vera Sans" w:cs="Bitstream Vera Sans"/>
      <w:color w:val="000000"/>
      <w:sz w:val="24"/>
      <w:szCs w:val="24"/>
    </w:rPr>
  </w:style>
  <w:style w:type="paragraph" w:styleId="Testonormale">
    <w:name w:val="Plain Text"/>
    <w:basedOn w:val="Normale"/>
    <w:link w:val="TestonormaleCarattere"/>
    <w:uiPriority w:val="99"/>
    <w:unhideWhenUsed/>
    <w:rsid w:val="0001124D"/>
    <w:pPr>
      <w:spacing w:line="240" w:lineRule="auto"/>
      <w:jc w:val="left"/>
    </w:pPr>
    <w:rPr>
      <w:rFonts w:ascii="Calibri" w:eastAsia="Times New Roman" w:hAnsi="Calibri" w:cs="Times New Roman"/>
      <w:sz w:val="24"/>
      <w:szCs w:val="21"/>
    </w:rPr>
  </w:style>
  <w:style w:type="character" w:customStyle="1" w:styleId="TestonormaleCarattere">
    <w:name w:val="Testo normale Carattere"/>
    <w:link w:val="Testonormale"/>
    <w:uiPriority w:val="99"/>
    <w:rsid w:val="0001124D"/>
    <w:rPr>
      <w:rFonts w:ascii="Calibri" w:hAnsi="Calibri" w:cs="Times New Roman"/>
      <w:sz w:val="24"/>
      <w:szCs w:val="21"/>
    </w:rPr>
  </w:style>
  <w:style w:type="character" w:styleId="Rimandocommento">
    <w:name w:val="annotation reference"/>
    <w:unhideWhenUsed/>
    <w:rsid w:val="00D570CF"/>
    <w:rPr>
      <w:sz w:val="16"/>
      <w:szCs w:val="16"/>
    </w:rPr>
  </w:style>
  <w:style w:type="paragraph" w:styleId="Testocommento">
    <w:name w:val="annotation text"/>
    <w:basedOn w:val="Normale"/>
    <w:link w:val="TestocommentoCarattere"/>
    <w:uiPriority w:val="99"/>
    <w:unhideWhenUsed/>
    <w:rsid w:val="00D570CF"/>
    <w:rPr>
      <w:rFonts w:cs="Times New Roman"/>
      <w:sz w:val="20"/>
      <w:szCs w:val="20"/>
    </w:rPr>
  </w:style>
  <w:style w:type="character" w:customStyle="1" w:styleId="TestocommentoCarattere">
    <w:name w:val="Testo commento Carattere"/>
    <w:link w:val="Testocommento"/>
    <w:uiPriority w:val="99"/>
    <w:rsid w:val="00D570CF"/>
    <w:rPr>
      <w:rFonts w:eastAsia="Calibri"/>
      <w:lang w:eastAsia="ar-SA"/>
    </w:rPr>
  </w:style>
  <w:style w:type="numbering" w:customStyle="1" w:styleId="Nessunelenco1">
    <w:name w:val="Nessun elenco1"/>
    <w:next w:val="Nessunelenco"/>
    <w:uiPriority w:val="99"/>
    <w:semiHidden/>
    <w:unhideWhenUsed/>
    <w:rsid w:val="00F1297F"/>
  </w:style>
  <w:style w:type="paragraph" w:customStyle="1" w:styleId="CM4">
    <w:name w:val="CM4"/>
    <w:basedOn w:val="Default"/>
    <w:next w:val="Default"/>
    <w:uiPriority w:val="99"/>
    <w:rsid w:val="00F1297F"/>
  </w:style>
  <w:style w:type="paragraph" w:styleId="Nessunaspaziatura">
    <w:name w:val="No Spacing"/>
    <w:link w:val="NessunaspaziaturaCarattere"/>
    <w:uiPriority w:val="1"/>
    <w:qFormat/>
    <w:rsid w:val="004B51F9"/>
    <w:rPr>
      <w:rFonts w:ascii="Calibri" w:hAnsi="Calibri" w:cs="Times New Roman"/>
      <w:sz w:val="22"/>
      <w:szCs w:val="22"/>
    </w:rPr>
  </w:style>
  <w:style w:type="paragraph" w:styleId="Corpodeltesto2">
    <w:name w:val="Body Text 2"/>
    <w:basedOn w:val="Normale"/>
    <w:link w:val="Corpodeltesto2Carattere"/>
    <w:semiHidden/>
    <w:unhideWhenUsed/>
    <w:rsid w:val="00F1297F"/>
    <w:pPr>
      <w:spacing w:line="240" w:lineRule="auto"/>
    </w:pPr>
    <w:rPr>
      <w:rFonts w:eastAsia="Times New Roman" w:cs="Times New Roman"/>
      <w:sz w:val="24"/>
      <w:szCs w:val="20"/>
    </w:rPr>
  </w:style>
  <w:style w:type="character" w:customStyle="1" w:styleId="Corpodeltesto2Carattere">
    <w:name w:val="Corpo del testo 2 Carattere"/>
    <w:link w:val="Corpodeltesto2"/>
    <w:semiHidden/>
    <w:rsid w:val="00F1297F"/>
    <w:rPr>
      <w:sz w:val="24"/>
    </w:rPr>
  </w:style>
  <w:style w:type="character" w:customStyle="1" w:styleId="copyright">
    <w:name w:val="copyright"/>
    <w:basedOn w:val="Carpredefinitoparagrafo"/>
    <w:rsid w:val="00F1297F"/>
  </w:style>
  <w:style w:type="table" w:customStyle="1" w:styleId="Grigliatabella1">
    <w:name w:val="Griglia tabella1"/>
    <w:basedOn w:val="Tabellanormale"/>
    <w:next w:val="Grigliatabella"/>
    <w:uiPriority w:val="59"/>
    <w:rsid w:val="000D4828"/>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0D4828"/>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ssunaspaziaturaCarattere">
    <w:name w:val="Nessuna spaziatura Carattere"/>
    <w:link w:val="Nessunaspaziatura"/>
    <w:uiPriority w:val="1"/>
    <w:rsid w:val="004B51F9"/>
    <w:rPr>
      <w:rFonts w:ascii="Calibri" w:hAnsi="Calibri" w:cs="Times New Roman"/>
      <w:sz w:val="22"/>
      <w:szCs w:val="22"/>
    </w:rPr>
  </w:style>
  <w:style w:type="paragraph" w:styleId="Soggettocommento">
    <w:name w:val="annotation subject"/>
    <w:basedOn w:val="Testocommento"/>
    <w:next w:val="Testocommento"/>
    <w:link w:val="SoggettocommentoCarattere"/>
    <w:uiPriority w:val="99"/>
    <w:semiHidden/>
    <w:unhideWhenUsed/>
    <w:rsid w:val="0088608C"/>
    <w:rPr>
      <w:rFonts w:cs="Arial"/>
      <w:b/>
      <w:bCs/>
    </w:rPr>
  </w:style>
  <w:style w:type="character" w:customStyle="1" w:styleId="SoggettocommentoCarattere">
    <w:name w:val="Soggetto commento Carattere"/>
    <w:link w:val="Soggettocommento"/>
    <w:uiPriority w:val="99"/>
    <w:semiHidden/>
    <w:rsid w:val="0088608C"/>
    <w:rPr>
      <w:rFonts w:eastAsia="Calibri"/>
      <w:b/>
      <w:bCs/>
      <w:lang w:eastAsia="ar-SA"/>
    </w:rPr>
  </w:style>
  <w:style w:type="paragraph" w:styleId="Revisione">
    <w:name w:val="Revision"/>
    <w:hidden/>
    <w:uiPriority w:val="99"/>
    <w:semiHidden/>
    <w:rsid w:val="0088608C"/>
    <w:rPr>
      <w:rFonts w:eastAsia="Calibri"/>
      <w:sz w:val="22"/>
      <w:szCs w:val="22"/>
      <w:lang w:eastAsia="ar-SA"/>
    </w:rPr>
  </w:style>
  <w:style w:type="paragraph" w:customStyle="1" w:styleId="TestoNormale0">
    <w:name w:val="Testo Normale"/>
    <w:basedOn w:val="Normale"/>
    <w:rsid w:val="0088608C"/>
    <w:pPr>
      <w:spacing w:line="360" w:lineRule="atLeast"/>
    </w:pPr>
    <w:rPr>
      <w:rFonts w:eastAsia="Times New Roman" w:cs="Times New Roman"/>
      <w:sz w:val="24"/>
      <w:szCs w:val="20"/>
      <w:lang w:eastAsia="it-IT"/>
    </w:rPr>
  </w:style>
  <w:style w:type="character" w:styleId="Collegamentovisitato">
    <w:name w:val="FollowedHyperlink"/>
    <w:uiPriority w:val="99"/>
    <w:semiHidden/>
    <w:unhideWhenUsed/>
    <w:rsid w:val="00A31169"/>
    <w:rPr>
      <w:color w:val="800080"/>
      <w:u w:val="single"/>
    </w:rPr>
  </w:style>
  <w:style w:type="paragraph" w:customStyle="1" w:styleId="Paragrafoelenco1">
    <w:name w:val="Paragrafo elenco1"/>
    <w:basedOn w:val="Normale"/>
    <w:rsid w:val="008E294F"/>
    <w:pPr>
      <w:suppressAutoHyphens/>
      <w:spacing w:after="200"/>
      <w:ind w:left="720"/>
      <w:contextualSpacing/>
      <w:jc w:val="left"/>
    </w:pPr>
    <w:rPr>
      <w:rFonts w:ascii="Calibri" w:eastAsia="SimSun" w:hAnsi="Calibri" w:cs="Calibri"/>
      <w:kern w:val="1"/>
      <w:lang w:eastAsia="en-US"/>
    </w:rPr>
  </w:style>
  <w:style w:type="character" w:customStyle="1" w:styleId="PARAGRAPHCarattere">
    <w:name w:val="PARAGRAPH Carattere"/>
    <w:link w:val="PARAGRAPH"/>
    <w:locked/>
    <w:rsid w:val="004B51F9"/>
    <w:rPr>
      <w:rFonts w:ascii="Tahoma" w:hAnsi="Tahoma" w:cs="Tahoma"/>
      <w:sz w:val="18"/>
      <w:szCs w:val="18"/>
      <w:shd w:val="clear" w:color="auto" w:fill="FFFFFF"/>
      <w:lang w:val="en-US"/>
    </w:rPr>
  </w:style>
  <w:style w:type="paragraph" w:customStyle="1" w:styleId="PARAGRAPH">
    <w:name w:val="PARAGRAPH"/>
    <w:basedOn w:val="Normale"/>
    <w:link w:val="PARAGRAPHCarattere"/>
    <w:qFormat/>
    <w:rsid w:val="004B51F9"/>
    <w:pPr>
      <w:shd w:val="clear" w:color="auto" w:fill="FFFFFF"/>
      <w:autoSpaceDE w:val="0"/>
      <w:autoSpaceDN w:val="0"/>
      <w:adjustRightInd w:val="0"/>
      <w:spacing w:line="336" w:lineRule="auto"/>
    </w:pPr>
    <w:rPr>
      <w:rFonts w:ascii="Tahoma" w:eastAsia="Times New Roman" w:hAnsi="Tahoma" w:cs="Tahoma"/>
      <w:sz w:val="18"/>
      <w:szCs w:val="18"/>
      <w:lang w:val="en-US" w:eastAsia="it-IT"/>
    </w:rPr>
  </w:style>
  <w:style w:type="character" w:customStyle="1" w:styleId="PARAGRAPHINDENTCarattere">
    <w:name w:val="PARAGRAPH INDENT Carattere"/>
    <w:basedOn w:val="PARAGRAPHCarattere"/>
    <w:link w:val="PARAGRAPHINDENT"/>
    <w:locked/>
    <w:rsid w:val="004B51F9"/>
    <w:rPr>
      <w:rFonts w:ascii="Tahoma" w:hAnsi="Tahoma" w:cs="Tahoma"/>
      <w:sz w:val="18"/>
      <w:szCs w:val="18"/>
      <w:shd w:val="clear" w:color="auto" w:fill="FFFFFF"/>
      <w:lang w:val="en-US"/>
    </w:rPr>
  </w:style>
  <w:style w:type="paragraph" w:customStyle="1" w:styleId="PARAGRAPHINDENT">
    <w:name w:val="PARAGRAPH INDENT"/>
    <w:basedOn w:val="PARAGRAPH"/>
    <w:link w:val="PARAGRAPHINDENTCarattere"/>
    <w:qFormat/>
    <w:rsid w:val="004B51F9"/>
    <w:pPr>
      <w:numPr>
        <w:numId w:val="3"/>
      </w:numPr>
    </w:pPr>
  </w:style>
  <w:style w:type="paragraph" w:customStyle="1" w:styleId="pjust">
    <w:name w:val="pjust"/>
    <w:basedOn w:val="Normale"/>
    <w:rsid w:val="00F70E9F"/>
    <w:pPr>
      <w:widowControl w:val="0"/>
      <w:suppressAutoHyphens/>
      <w:spacing w:before="280" w:after="280" w:line="240" w:lineRule="auto"/>
      <w:jc w:val="left"/>
    </w:pPr>
    <w:rPr>
      <w:rFonts w:ascii="Times New Roman" w:eastAsia="SimSun" w:hAnsi="Times New Roman" w:cs="Mangal"/>
      <w:kern w:val="1"/>
      <w:sz w:val="24"/>
      <w:szCs w:val="24"/>
      <w:lang w:eastAsia="hi-IN" w:bidi="hi-IN"/>
    </w:rPr>
  </w:style>
  <w:style w:type="character" w:customStyle="1" w:styleId="apple-converted-space">
    <w:name w:val="apple-converted-space"/>
    <w:basedOn w:val="Carpredefinitoparagrafo"/>
    <w:rsid w:val="00D71E05"/>
  </w:style>
  <w:style w:type="character" w:styleId="AcronimoHTML">
    <w:name w:val="HTML Acronym"/>
    <w:basedOn w:val="Carpredefinitoparagrafo"/>
    <w:uiPriority w:val="99"/>
    <w:semiHidden/>
    <w:unhideWhenUsed/>
    <w:rsid w:val="00D71E05"/>
  </w:style>
  <w:style w:type="character" w:styleId="Testosegnaposto">
    <w:name w:val="Placeholder Text"/>
    <w:basedOn w:val="Carpredefinitoparagrafo"/>
    <w:uiPriority w:val="99"/>
    <w:semiHidden/>
    <w:rsid w:val="009D3703"/>
    <w:rPr>
      <w:color w:val="808080"/>
    </w:rPr>
  </w:style>
  <w:style w:type="paragraph" w:styleId="Corpodeltesto3">
    <w:name w:val="Body Text 3"/>
    <w:basedOn w:val="Normale"/>
    <w:link w:val="Corpodeltesto3Carattere"/>
    <w:uiPriority w:val="99"/>
    <w:semiHidden/>
    <w:unhideWhenUsed/>
    <w:rsid w:val="009124EB"/>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9124EB"/>
    <w:rPr>
      <w:rFonts w:eastAsia="Calibri"/>
      <w:sz w:val="16"/>
      <w:szCs w:val="16"/>
      <w:lang w:eastAsia="ar-SA"/>
    </w:rPr>
  </w:style>
  <w:style w:type="paragraph" w:styleId="Rientrocorpodeltesto2">
    <w:name w:val="Body Text Indent 2"/>
    <w:basedOn w:val="Normale"/>
    <w:link w:val="Rientrocorpodeltesto2Carattere"/>
    <w:uiPriority w:val="99"/>
    <w:semiHidden/>
    <w:unhideWhenUsed/>
    <w:rsid w:val="003906E6"/>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906E6"/>
    <w:rPr>
      <w:rFonts w:eastAsia="Calibri"/>
      <w:sz w:val="22"/>
      <w:szCs w:val="22"/>
      <w:lang w:eastAsia="ar-SA"/>
    </w:rPr>
  </w:style>
  <w:style w:type="paragraph" w:customStyle="1" w:styleId="Paragrafoelenco2">
    <w:name w:val="Paragrafo elenco2"/>
    <w:basedOn w:val="Normale"/>
    <w:rsid w:val="000972CD"/>
    <w:pPr>
      <w:spacing w:before="100" w:beforeAutospacing="1" w:after="100" w:afterAutospacing="1" w:line="240" w:lineRule="auto"/>
      <w:ind w:left="720"/>
    </w:pPr>
    <w:rPr>
      <w:rFonts w:ascii="Calibri" w:eastAsia="Times New Roman" w:hAnsi="Calibri" w:cs="Times New Roman"/>
      <w:lang w:eastAsia="en-US"/>
    </w:rPr>
  </w:style>
  <w:style w:type="character" w:customStyle="1" w:styleId="object">
    <w:name w:val="object"/>
    <w:basedOn w:val="Carpredefinitoparagrafo"/>
    <w:rsid w:val="00C62A49"/>
  </w:style>
  <w:style w:type="paragraph" w:customStyle="1" w:styleId="TestoBoxRetino">
    <w:name w:val="TestoBoxRetino"/>
    <w:rsid w:val="00973F0D"/>
    <w:pPr>
      <w:tabs>
        <w:tab w:val="left" w:pos="9284"/>
      </w:tabs>
      <w:suppressAutoHyphens/>
      <w:autoSpaceDE w:val="0"/>
      <w:spacing w:line="236" w:lineRule="atLeast"/>
      <w:ind w:left="113" w:right="113" w:firstLine="283"/>
      <w:jc w:val="both"/>
    </w:pPr>
    <w:rPr>
      <w:rFonts w:ascii="NewAster" w:eastAsia="Arial" w:hAnsi="NewAster" w:cs="NewAster"/>
      <w:lang w:eastAsia="ar-SA"/>
    </w:rPr>
  </w:style>
  <w:style w:type="character" w:styleId="Menzionenonrisolta">
    <w:name w:val="Unresolved Mention"/>
    <w:basedOn w:val="Carpredefinitoparagrafo"/>
    <w:uiPriority w:val="99"/>
    <w:semiHidden/>
    <w:unhideWhenUsed/>
    <w:rsid w:val="008351ED"/>
    <w:rPr>
      <w:color w:val="605E5C"/>
      <w:shd w:val="clear" w:color="auto" w:fill="E1DFDD"/>
    </w:rPr>
  </w:style>
  <w:style w:type="paragraph" w:styleId="Didascalia">
    <w:name w:val="caption"/>
    <w:basedOn w:val="Normale"/>
    <w:next w:val="Normale"/>
    <w:uiPriority w:val="35"/>
    <w:unhideWhenUsed/>
    <w:qFormat/>
    <w:rsid w:val="00565EC3"/>
    <w:pPr>
      <w:spacing w:after="200" w:line="240" w:lineRule="auto"/>
    </w:pPr>
    <w:rPr>
      <w:i/>
      <w:iCs/>
      <w:color w:val="1F497D" w:themeColor="text2"/>
      <w:sz w:val="18"/>
      <w:szCs w:val="18"/>
    </w:rPr>
  </w:style>
  <w:style w:type="character" w:customStyle="1" w:styleId="fontstyle01">
    <w:name w:val="fontstyle01"/>
    <w:basedOn w:val="Carpredefinitoparagrafo"/>
    <w:rsid w:val="006A7227"/>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076">
      <w:bodyDiv w:val="1"/>
      <w:marLeft w:val="0"/>
      <w:marRight w:val="0"/>
      <w:marTop w:val="0"/>
      <w:marBottom w:val="0"/>
      <w:divBdr>
        <w:top w:val="none" w:sz="0" w:space="0" w:color="auto"/>
        <w:left w:val="none" w:sz="0" w:space="0" w:color="auto"/>
        <w:bottom w:val="none" w:sz="0" w:space="0" w:color="auto"/>
        <w:right w:val="none" w:sz="0" w:space="0" w:color="auto"/>
      </w:divBdr>
      <w:divsChild>
        <w:div w:id="2130123020">
          <w:marLeft w:val="0"/>
          <w:marRight w:val="0"/>
          <w:marTop w:val="0"/>
          <w:marBottom w:val="0"/>
          <w:divBdr>
            <w:top w:val="none" w:sz="0" w:space="0" w:color="auto"/>
            <w:left w:val="none" w:sz="0" w:space="0" w:color="auto"/>
            <w:bottom w:val="none" w:sz="0" w:space="0" w:color="auto"/>
            <w:right w:val="none" w:sz="0" w:space="0" w:color="auto"/>
          </w:divBdr>
          <w:divsChild>
            <w:div w:id="457380935">
              <w:marLeft w:val="0"/>
              <w:marRight w:val="0"/>
              <w:marTop w:val="0"/>
              <w:marBottom w:val="0"/>
              <w:divBdr>
                <w:top w:val="single" w:sz="2" w:space="0" w:color="BBBBBB"/>
                <w:left w:val="single" w:sz="2" w:space="0" w:color="BBBBBB"/>
                <w:bottom w:val="single" w:sz="2" w:space="0" w:color="666666"/>
                <w:right w:val="single" w:sz="2" w:space="0" w:color="BBBBBB"/>
              </w:divBdr>
              <w:divsChild>
                <w:div w:id="989792811">
                  <w:marLeft w:val="0"/>
                  <w:marRight w:val="0"/>
                  <w:marTop w:val="0"/>
                  <w:marBottom w:val="0"/>
                  <w:divBdr>
                    <w:top w:val="none" w:sz="0" w:space="0" w:color="auto"/>
                    <w:left w:val="none" w:sz="0" w:space="0" w:color="auto"/>
                    <w:bottom w:val="none" w:sz="0" w:space="0" w:color="auto"/>
                    <w:right w:val="none" w:sz="0" w:space="0" w:color="auto"/>
                  </w:divBdr>
                  <w:divsChild>
                    <w:div w:id="1984583511">
                      <w:marLeft w:val="60"/>
                      <w:marRight w:val="0"/>
                      <w:marTop w:val="0"/>
                      <w:marBottom w:val="0"/>
                      <w:divBdr>
                        <w:top w:val="none" w:sz="0" w:space="0" w:color="auto"/>
                        <w:left w:val="none" w:sz="0" w:space="0" w:color="auto"/>
                        <w:bottom w:val="none" w:sz="0" w:space="0" w:color="auto"/>
                        <w:right w:val="none" w:sz="0" w:space="0" w:color="auto"/>
                      </w:divBdr>
                      <w:divsChild>
                        <w:div w:id="1670987663">
                          <w:marLeft w:val="0"/>
                          <w:marRight w:val="0"/>
                          <w:marTop w:val="0"/>
                          <w:marBottom w:val="120"/>
                          <w:divBdr>
                            <w:top w:val="none" w:sz="0" w:space="0" w:color="auto"/>
                            <w:left w:val="none" w:sz="0" w:space="0" w:color="auto"/>
                            <w:bottom w:val="none" w:sz="0" w:space="0" w:color="auto"/>
                            <w:right w:val="none" w:sz="0" w:space="0" w:color="auto"/>
                          </w:divBdr>
                          <w:divsChild>
                            <w:div w:id="909459730">
                              <w:marLeft w:val="0"/>
                              <w:marRight w:val="0"/>
                              <w:marTop w:val="0"/>
                              <w:marBottom w:val="0"/>
                              <w:divBdr>
                                <w:top w:val="none" w:sz="0" w:space="0" w:color="auto"/>
                                <w:left w:val="none" w:sz="0" w:space="0" w:color="auto"/>
                                <w:bottom w:val="none" w:sz="0" w:space="0" w:color="auto"/>
                                <w:right w:val="none" w:sz="0" w:space="0" w:color="auto"/>
                              </w:divBdr>
                              <w:divsChild>
                                <w:div w:id="1496842718">
                                  <w:marLeft w:val="0"/>
                                  <w:marRight w:val="0"/>
                                  <w:marTop w:val="0"/>
                                  <w:marBottom w:val="0"/>
                                  <w:divBdr>
                                    <w:top w:val="none" w:sz="0" w:space="0" w:color="auto"/>
                                    <w:left w:val="none" w:sz="0" w:space="0" w:color="auto"/>
                                    <w:bottom w:val="none" w:sz="0" w:space="0" w:color="auto"/>
                                    <w:right w:val="none" w:sz="0" w:space="0" w:color="auto"/>
                                  </w:divBdr>
                                  <w:divsChild>
                                    <w:div w:id="957954511">
                                      <w:marLeft w:val="0"/>
                                      <w:marRight w:val="0"/>
                                      <w:marTop w:val="0"/>
                                      <w:marBottom w:val="0"/>
                                      <w:divBdr>
                                        <w:top w:val="none" w:sz="0" w:space="0" w:color="auto"/>
                                        <w:left w:val="none" w:sz="0" w:space="0" w:color="auto"/>
                                        <w:bottom w:val="none" w:sz="0" w:space="0" w:color="auto"/>
                                        <w:right w:val="none" w:sz="0" w:space="0" w:color="auto"/>
                                      </w:divBdr>
                                      <w:divsChild>
                                        <w:div w:id="17417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59067">
      <w:bodyDiv w:val="1"/>
      <w:marLeft w:val="0"/>
      <w:marRight w:val="0"/>
      <w:marTop w:val="0"/>
      <w:marBottom w:val="0"/>
      <w:divBdr>
        <w:top w:val="none" w:sz="0" w:space="0" w:color="auto"/>
        <w:left w:val="none" w:sz="0" w:space="0" w:color="auto"/>
        <w:bottom w:val="none" w:sz="0" w:space="0" w:color="auto"/>
        <w:right w:val="none" w:sz="0" w:space="0" w:color="auto"/>
      </w:divBdr>
      <w:divsChild>
        <w:div w:id="977808851">
          <w:marLeft w:val="0"/>
          <w:marRight w:val="0"/>
          <w:marTop w:val="0"/>
          <w:marBottom w:val="0"/>
          <w:divBdr>
            <w:top w:val="none" w:sz="0" w:space="0" w:color="auto"/>
            <w:left w:val="none" w:sz="0" w:space="0" w:color="auto"/>
            <w:bottom w:val="none" w:sz="0" w:space="0" w:color="auto"/>
            <w:right w:val="none" w:sz="0" w:space="0" w:color="auto"/>
          </w:divBdr>
          <w:divsChild>
            <w:div w:id="46420822">
              <w:marLeft w:val="0"/>
              <w:marRight w:val="0"/>
              <w:marTop w:val="0"/>
              <w:marBottom w:val="0"/>
              <w:divBdr>
                <w:top w:val="single" w:sz="2" w:space="0" w:color="BBBBBB"/>
                <w:left w:val="single" w:sz="2" w:space="0" w:color="BBBBBB"/>
                <w:bottom w:val="single" w:sz="2" w:space="0" w:color="666666"/>
                <w:right w:val="single" w:sz="2" w:space="0" w:color="BBBBBB"/>
              </w:divBdr>
              <w:divsChild>
                <w:div w:id="1421370585">
                  <w:marLeft w:val="0"/>
                  <w:marRight w:val="0"/>
                  <w:marTop w:val="0"/>
                  <w:marBottom w:val="0"/>
                  <w:divBdr>
                    <w:top w:val="none" w:sz="0" w:space="0" w:color="auto"/>
                    <w:left w:val="none" w:sz="0" w:space="0" w:color="auto"/>
                    <w:bottom w:val="none" w:sz="0" w:space="0" w:color="auto"/>
                    <w:right w:val="none" w:sz="0" w:space="0" w:color="auto"/>
                  </w:divBdr>
                  <w:divsChild>
                    <w:div w:id="1013455666">
                      <w:marLeft w:val="60"/>
                      <w:marRight w:val="0"/>
                      <w:marTop w:val="0"/>
                      <w:marBottom w:val="0"/>
                      <w:divBdr>
                        <w:top w:val="none" w:sz="0" w:space="0" w:color="auto"/>
                        <w:left w:val="none" w:sz="0" w:space="0" w:color="auto"/>
                        <w:bottom w:val="none" w:sz="0" w:space="0" w:color="auto"/>
                        <w:right w:val="none" w:sz="0" w:space="0" w:color="auto"/>
                      </w:divBdr>
                      <w:divsChild>
                        <w:div w:id="1122529196">
                          <w:marLeft w:val="0"/>
                          <w:marRight w:val="0"/>
                          <w:marTop w:val="0"/>
                          <w:marBottom w:val="120"/>
                          <w:divBdr>
                            <w:top w:val="none" w:sz="0" w:space="0" w:color="auto"/>
                            <w:left w:val="none" w:sz="0" w:space="0" w:color="auto"/>
                            <w:bottom w:val="none" w:sz="0" w:space="0" w:color="auto"/>
                            <w:right w:val="none" w:sz="0" w:space="0" w:color="auto"/>
                          </w:divBdr>
                          <w:divsChild>
                            <w:div w:id="1525172784">
                              <w:marLeft w:val="0"/>
                              <w:marRight w:val="0"/>
                              <w:marTop w:val="0"/>
                              <w:marBottom w:val="0"/>
                              <w:divBdr>
                                <w:top w:val="none" w:sz="0" w:space="0" w:color="auto"/>
                                <w:left w:val="none" w:sz="0" w:space="0" w:color="auto"/>
                                <w:bottom w:val="none" w:sz="0" w:space="0" w:color="auto"/>
                                <w:right w:val="none" w:sz="0" w:space="0" w:color="auto"/>
                              </w:divBdr>
                              <w:divsChild>
                                <w:div w:id="1026637550">
                                  <w:marLeft w:val="0"/>
                                  <w:marRight w:val="0"/>
                                  <w:marTop w:val="0"/>
                                  <w:marBottom w:val="0"/>
                                  <w:divBdr>
                                    <w:top w:val="none" w:sz="0" w:space="0" w:color="auto"/>
                                    <w:left w:val="none" w:sz="0" w:space="0" w:color="auto"/>
                                    <w:bottom w:val="none" w:sz="0" w:space="0" w:color="auto"/>
                                    <w:right w:val="none" w:sz="0" w:space="0" w:color="auto"/>
                                  </w:divBdr>
                                  <w:divsChild>
                                    <w:div w:id="695810904">
                                      <w:marLeft w:val="0"/>
                                      <w:marRight w:val="0"/>
                                      <w:marTop w:val="0"/>
                                      <w:marBottom w:val="0"/>
                                      <w:divBdr>
                                        <w:top w:val="none" w:sz="0" w:space="0" w:color="auto"/>
                                        <w:left w:val="none" w:sz="0" w:space="0" w:color="auto"/>
                                        <w:bottom w:val="none" w:sz="0" w:space="0" w:color="auto"/>
                                        <w:right w:val="none" w:sz="0" w:space="0" w:color="auto"/>
                                      </w:divBdr>
                                      <w:divsChild>
                                        <w:div w:id="8033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28464">
      <w:bodyDiv w:val="1"/>
      <w:marLeft w:val="0"/>
      <w:marRight w:val="0"/>
      <w:marTop w:val="0"/>
      <w:marBottom w:val="0"/>
      <w:divBdr>
        <w:top w:val="none" w:sz="0" w:space="0" w:color="auto"/>
        <w:left w:val="none" w:sz="0" w:space="0" w:color="auto"/>
        <w:bottom w:val="none" w:sz="0" w:space="0" w:color="auto"/>
        <w:right w:val="none" w:sz="0" w:space="0" w:color="auto"/>
      </w:divBdr>
    </w:div>
    <w:div w:id="90055341">
      <w:bodyDiv w:val="1"/>
      <w:marLeft w:val="0"/>
      <w:marRight w:val="0"/>
      <w:marTop w:val="0"/>
      <w:marBottom w:val="0"/>
      <w:divBdr>
        <w:top w:val="none" w:sz="0" w:space="0" w:color="auto"/>
        <w:left w:val="none" w:sz="0" w:space="0" w:color="auto"/>
        <w:bottom w:val="none" w:sz="0" w:space="0" w:color="auto"/>
        <w:right w:val="none" w:sz="0" w:space="0" w:color="auto"/>
      </w:divBdr>
    </w:div>
    <w:div w:id="94138054">
      <w:bodyDiv w:val="1"/>
      <w:marLeft w:val="0"/>
      <w:marRight w:val="0"/>
      <w:marTop w:val="0"/>
      <w:marBottom w:val="0"/>
      <w:divBdr>
        <w:top w:val="none" w:sz="0" w:space="0" w:color="auto"/>
        <w:left w:val="none" w:sz="0" w:space="0" w:color="auto"/>
        <w:bottom w:val="none" w:sz="0" w:space="0" w:color="auto"/>
        <w:right w:val="none" w:sz="0" w:space="0" w:color="auto"/>
      </w:divBdr>
    </w:div>
    <w:div w:id="204025886">
      <w:bodyDiv w:val="1"/>
      <w:marLeft w:val="0"/>
      <w:marRight w:val="0"/>
      <w:marTop w:val="0"/>
      <w:marBottom w:val="0"/>
      <w:divBdr>
        <w:top w:val="none" w:sz="0" w:space="0" w:color="auto"/>
        <w:left w:val="none" w:sz="0" w:space="0" w:color="auto"/>
        <w:bottom w:val="none" w:sz="0" w:space="0" w:color="auto"/>
        <w:right w:val="none" w:sz="0" w:space="0" w:color="auto"/>
      </w:divBdr>
    </w:div>
    <w:div w:id="257756599">
      <w:bodyDiv w:val="1"/>
      <w:marLeft w:val="0"/>
      <w:marRight w:val="0"/>
      <w:marTop w:val="0"/>
      <w:marBottom w:val="0"/>
      <w:divBdr>
        <w:top w:val="none" w:sz="0" w:space="0" w:color="auto"/>
        <w:left w:val="none" w:sz="0" w:space="0" w:color="auto"/>
        <w:bottom w:val="none" w:sz="0" w:space="0" w:color="auto"/>
        <w:right w:val="none" w:sz="0" w:space="0" w:color="auto"/>
      </w:divBdr>
    </w:div>
    <w:div w:id="276060807">
      <w:bodyDiv w:val="1"/>
      <w:marLeft w:val="0"/>
      <w:marRight w:val="0"/>
      <w:marTop w:val="0"/>
      <w:marBottom w:val="0"/>
      <w:divBdr>
        <w:top w:val="none" w:sz="0" w:space="0" w:color="auto"/>
        <w:left w:val="none" w:sz="0" w:space="0" w:color="auto"/>
        <w:bottom w:val="none" w:sz="0" w:space="0" w:color="auto"/>
        <w:right w:val="none" w:sz="0" w:space="0" w:color="auto"/>
      </w:divBdr>
      <w:divsChild>
        <w:div w:id="2097511793">
          <w:marLeft w:val="0"/>
          <w:marRight w:val="0"/>
          <w:marTop w:val="0"/>
          <w:marBottom w:val="0"/>
          <w:divBdr>
            <w:top w:val="none" w:sz="0" w:space="0" w:color="auto"/>
            <w:left w:val="none" w:sz="0" w:space="0" w:color="auto"/>
            <w:bottom w:val="none" w:sz="0" w:space="0" w:color="auto"/>
            <w:right w:val="none" w:sz="0" w:space="0" w:color="auto"/>
          </w:divBdr>
          <w:divsChild>
            <w:div w:id="867524638">
              <w:marLeft w:val="0"/>
              <w:marRight w:val="0"/>
              <w:marTop w:val="0"/>
              <w:marBottom w:val="0"/>
              <w:divBdr>
                <w:top w:val="none" w:sz="0" w:space="0" w:color="auto"/>
                <w:left w:val="none" w:sz="0" w:space="0" w:color="auto"/>
                <w:bottom w:val="none" w:sz="0" w:space="0" w:color="auto"/>
                <w:right w:val="none" w:sz="0" w:space="0" w:color="auto"/>
              </w:divBdr>
              <w:divsChild>
                <w:div w:id="148222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5094">
      <w:bodyDiv w:val="1"/>
      <w:marLeft w:val="0"/>
      <w:marRight w:val="0"/>
      <w:marTop w:val="0"/>
      <w:marBottom w:val="0"/>
      <w:divBdr>
        <w:top w:val="none" w:sz="0" w:space="0" w:color="auto"/>
        <w:left w:val="none" w:sz="0" w:space="0" w:color="auto"/>
        <w:bottom w:val="none" w:sz="0" w:space="0" w:color="auto"/>
        <w:right w:val="none" w:sz="0" w:space="0" w:color="auto"/>
      </w:divBdr>
    </w:div>
    <w:div w:id="364528765">
      <w:bodyDiv w:val="1"/>
      <w:marLeft w:val="0"/>
      <w:marRight w:val="0"/>
      <w:marTop w:val="0"/>
      <w:marBottom w:val="0"/>
      <w:divBdr>
        <w:top w:val="none" w:sz="0" w:space="0" w:color="auto"/>
        <w:left w:val="none" w:sz="0" w:space="0" w:color="auto"/>
        <w:bottom w:val="none" w:sz="0" w:space="0" w:color="auto"/>
        <w:right w:val="none" w:sz="0" w:space="0" w:color="auto"/>
      </w:divBdr>
      <w:divsChild>
        <w:div w:id="640891752">
          <w:marLeft w:val="0"/>
          <w:marRight w:val="0"/>
          <w:marTop w:val="0"/>
          <w:marBottom w:val="0"/>
          <w:divBdr>
            <w:top w:val="none" w:sz="0" w:space="0" w:color="auto"/>
            <w:left w:val="none" w:sz="0" w:space="0" w:color="auto"/>
            <w:bottom w:val="none" w:sz="0" w:space="0" w:color="auto"/>
            <w:right w:val="none" w:sz="0" w:space="0" w:color="auto"/>
          </w:divBdr>
          <w:divsChild>
            <w:div w:id="79638689">
              <w:marLeft w:val="0"/>
              <w:marRight w:val="0"/>
              <w:marTop w:val="0"/>
              <w:marBottom w:val="0"/>
              <w:divBdr>
                <w:top w:val="none" w:sz="0" w:space="0" w:color="auto"/>
                <w:left w:val="none" w:sz="0" w:space="0" w:color="auto"/>
                <w:bottom w:val="none" w:sz="0" w:space="0" w:color="auto"/>
                <w:right w:val="none" w:sz="0" w:space="0" w:color="auto"/>
              </w:divBdr>
              <w:divsChild>
                <w:div w:id="133950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25430">
      <w:bodyDiv w:val="1"/>
      <w:marLeft w:val="0"/>
      <w:marRight w:val="0"/>
      <w:marTop w:val="0"/>
      <w:marBottom w:val="0"/>
      <w:divBdr>
        <w:top w:val="none" w:sz="0" w:space="0" w:color="auto"/>
        <w:left w:val="none" w:sz="0" w:space="0" w:color="auto"/>
        <w:bottom w:val="none" w:sz="0" w:space="0" w:color="auto"/>
        <w:right w:val="none" w:sz="0" w:space="0" w:color="auto"/>
      </w:divBdr>
      <w:divsChild>
        <w:div w:id="42797909">
          <w:marLeft w:val="0"/>
          <w:marRight w:val="0"/>
          <w:marTop w:val="0"/>
          <w:marBottom w:val="0"/>
          <w:divBdr>
            <w:top w:val="none" w:sz="0" w:space="0" w:color="auto"/>
            <w:left w:val="none" w:sz="0" w:space="0" w:color="auto"/>
            <w:bottom w:val="none" w:sz="0" w:space="0" w:color="auto"/>
            <w:right w:val="none" w:sz="0" w:space="0" w:color="auto"/>
          </w:divBdr>
        </w:div>
        <w:div w:id="884100068">
          <w:marLeft w:val="0"/>
          <w:marRight w:val="0"/>
          <w:marTop w:val="0"/>
          <w:marBottom w:val="0"/>
          <w:divBdr>
            <w:top w:val="none" w:sz="0" w:space="0" w:color="auto"/>
            <w:left w:val="none" w:sz="0" w:space="0" w:color="auto"/>
            <w:bottom w:val="none" w:sz="0" w:space="0" w:color="auto"/>
            <w:right w:val="none" w:sz="0" w:space="0" w:color="auto"/>
          </w:divBdr>
        </w:div>
        <w:div w:id="987635247">
          <w:marLeft w:val="0"/>
          <w:marRight w:val="0"/>
          <w:marTop w:val="0"/>
          <w:marBottom w:val="0"/>
          <w:divBdr>
            <w:top w:val="none" w:sz="0" w:space="0" w:color="auto"/>
            <w:left w:val="none" w:sz="0" w:space="0" w:color="auto"/>
            <w:bottom w:val="none" w:sz="0" w:space="0" w:color="auto"/>
            <w:right w:val="none" w:sz="0" w:space="0" w:color="auto"/>
          </w:divBdr>
        </w:div>
        <w:div w:id="2030174803">
          <w:marLeft w:val="0"/>
          <w:marRight w:val="0"/>
          <w:marTop w:val="0"/>
          <w:marBottom w:val="0"/>
          <w:divBdr>
            <w:top w:val="none" w:sz="0" w:space="0" w:color="auto"/>
            <w:left w:val="none" w:sz="0" w:space="0" w:color="auto"/>
            <w:bottom w:val="none" w:sz="0" w:space="0" w:color="auto"/>
            <w:right w:val="none" w:sz="0" w:space="0" w:color="auto"/>
          </w:divBdr>
        </w:div>
      </w:divsChild>
    </w:div>
    <w:div w:id="414085917">
      <w:bodyDiv w:val="1"/>
      <w:marLeft w:val="0"/>
      <w:marRight w:val="0"/>
      <w:marTop w:val="0"/>
      <w:marBottom w:val="0"/>
      <w:divBdr>
        <w:top w:val="none" w:sz="0" w:space="0" w:color="auto"/>
        <w:left w:val="none" w:sz="0" w:space="0" w:color="auto"/>
        <w:bottom w:val="none" w:sz="0" w:space="0" w:color="auto"/>
        <w:right w:val="none" w:sz="0" w:space="0" w:color="auto"/>
      </w:divBdr>
    </w:div>
    <w:div w:id="433673574">
      <w:bodyDiv w:val="1"/>
      <w:marLeft w:val="0"/>
      <w:marRight w:val="0"/>
      <w:marTop w:val="0"/>
      <w:marBottom w:val="0"/>
      <w:divBdr>
        <w:top w:val="none" w:sz="0" w:space="0" w:color="auto"/>
        <w:left w:val="none" w:sz="0" w:space="0" w:color="auto"/>
        <w:bottom w:val="none" w:sz="0" w:space="0" w:color="auto"/>
        <w:right w:val="none" w:sz="0" w:space="0" w:color="auto"/>
      </w:divBdr>
      <w:divsChild>
        <w:div w:id="1172642838">
          <w:marLeft w:val="0"/>
          <w:marRight w:val="0"/>
          <w:marTop w:val="100"/>
          <w:marBottom w:val="100"/>
          <w:divBdr>
            <w:top w:val="none" w:sz="0" w:space="0" w:color="auto"/>
            <w:left w:val="none" w:sz="0" w:space="0" w:color="auto"/>
            <w:bottom w:val="none" w:sz="0" w:space="0" w:color="auto"/>
            <w:right w:val="none" w:sz="0" w:space="0" w:color="auto"/>
          </w:divBdr>
          <w:divsChild>
            <w:div w:id="1494568106">
              <w:marLeft w:val="0"/>
              <w:marRight w:val="0"/>
              <w:marTop w:val="100"/>
              <w:marBottom w:val="100"/>
              <w:divBdr>
                <w:top w:val="none" w:sz="0" w:space="0" w:color="auto"/>
                <w:left w:val="none" w:sz="0" w:space="0" w:color="auto"/>
                <w:bottom w:val="none" w:sz="0" w:space="0" w:color="auto"/>
                <w:right w:val="none" w:sz="0" w:space="0" w:color="auto"/>
              </w:divBdr>
              <w:divsChild>
                <w:div w:id="1373922880">
                  <w:marLeft w:val="0"/>
                  <w:marRight w:val="0"/>
                  <w:marTop w:val="0"/>
                  <w:marBottom w:val="0"/>
                  <w:divBdr>
                    <w:top w:val="none" w:sz="0" w:space="0" w:color="auto"/>
                    <w:left w:val="none" w:sz="0" w:space="0" w:color="auto"/>
                    <w:bottom w:val="none" w:sz="0" w:space="0" w:color="auto"/>
                    <w:right w:val="none" w:sz="0" w:space="0" w:color="auto"/>
                  </w:divBdr>
                  <w:divsChild>
                    <w:div w:id="291837458">
                      <w:marLeft w:val="0"/>
                      <w:marRight w:val="0"/>
                      <w:marTop w:val="225"/>
                      <w:marBottom w:val="225"/>
                      <w:divBdr>
                        <w:top w:val="none" w:sz="0" w:space="0" w:color="auto"/>
                        <w:left w:val="none" w:sz="0" w:space="0" w:color="auto"/>
                        <w:bottom w:val="none" w:sz="0" w:space="0" w:color="auto"/>
                        <w:right w:val="none" w:sz="0" w:space="0" w:color="auto"/>
                      </w:divBdr>
                      <w:divsChild>
                        <w:div w:id="1595817865">
                          <w:marLeft w:val="0"/>
                          <w:marRight w:val="0"/>
                          <w:marTop w:val="225"/>
                          <w:marBottom w:val="225"/>
                          <w:divBdr>
                            <w:top w:val="none" w:sz="0" w:space="0" w:color="auto"/>
                            <w:left w:val="none" w:sz="0" w:space="0" w:color="auto"/>
                            <w:bottom w:val="none" w:sz="0" w:space="0" w:color="auto"/>
                            <w:right w:val="none" w:sz="0" w:space="0" w:color="auto"/>
                          </w:divBdr>
                          <w:divsChild>
                            <w:div w:id="96824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296069">
      <w:bodyDiv w:val="1"/>
      <w:marLeft w:val="0"/>
      <w:marRight w:val="0"/>
      <w:marTop w:val="0"/>
      <w:marBottom w:val="0"/>
      <w:divBdr>
        <w:top w:val="none" w:sz="0" w:space="0" w:color="auto"/>
        <w:left w:val="none" w:sz="0" w:space="0" w:color="auto"/>
        <w:bottom w:val="none" w:sz="0" w:space="0" w:color="auto"/>
        <w:right w:val="none" w:sz="0" w:space="0" w:color="auto"/>
      </w:divBdr>
      <w:divsChild>
        <w:div w:id="1914586474">
          <w:marLeft w:val="0"/>
          <w:marRight w:val="0"/>
          <w:marTop w:val="0"/>
          <w:marBottom w:val="0"/>
          <w:divBdr>
            <w:top w:val="none" w:sz="0" w:space="0" w:color="auto"/>
            <w:left w:val="none" w:sz="0" w:space="0" w:color="auto"/>
            <w:bottom w:val="none" w:sz="0" w:space="0" w:color="auto"/>
            <w:right w:val="none" w:sz="0" w:space="0" w:color="auto"/>
          </w:divBdr>
          <w:divsChild>
            <w:div w:id="2124615270">
              <w:marLeft w:val="0"/>
              <w:marRight w:val="0"/>
              <w:marTop w:val="0"/>
              <w:marBottom w:val="0"/>
              <w:divBdr>
                <w:top w:val="none" w:sz="0" w:space="0" w:color="auto"/>
                <w:left w:val="none" w:sz="0" w:space="0" w:color="auto"/>
                <w:bottom w:val="none" w:sz="0" w:space="0" w:color="auto"/>
                <w:right w:val="none" w:sz="0" w:space="0" w:color="auto"/>
              </w:divBdr>
              <w:divsChild>
                <w:div w:id="1994330043">
                  <w:marLeft w:val="0"/>
                  <w:marRight w:val="0"/>
                  <w:marTop w:val="0"/>
                  <w:marBottom w:val="0"/>
                  <w:divBdr>
                    <w:top w:val="none" w:sz="0" w:space="0" w:color="auto"/>
                    <w:left w:val="none" w:sz="0" w:space="0" w:color="auto"/>
                    <w:bottom w:val="none" w:sz="0" w:space="0" w:color="auto"/>
                    <w:right w:val="none" w:sz="0" w:space="0" w:color="auto"/>
                  </w:divBdr>
                  <w:divsChild>
                    <w:div w:id="1332374792">
                      <w:marLeft w:val="0"/>
                      <w:marRight w:val="0"/>
                      <w:marTop w:val="0"/>
                      <w:marBottom w:val="0"/>
                      <w:divBdr>
                        <w:top w:val="none" w:sz="0" w:space="0" w:color="auto"/>
                        <w:left w:val="none" w:sz="0" w:space="0" w:color="auto"/>
                        <w:bottom w:val="none" w:sz="0" w:space="0" w:color="auto"/>
                        <w:right w:val="none" w:sz="0" w:space="0" w:color="auto"/>
                      </w:divBdr>
                      <w:divsChild>
                        <w:div w:id="95591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252844">
      <w:bodyDiv w:val="1"/>
      <w:marLeft w:val="0"/>
      <w:marRight w:val="0"/>
      <w:marTop w:val="0"/>
      <w:marBottom w:val="0"/>
      <w:divBdr>
        <w:top w:val="none" w:sz="0" w:space="0" w:color="auto"/>
        <w:left w:val="none" w:sz="0" w:space="0" w:color="auto"/>
        <w:bottom w:val="none" w:sz="0" w:space="0" w:color="auto"/>
        <w:right w:val="none" w:sz="0" w:space="0" w:color="auto"/>
      </w:divBdr>
      <w:divsChild>
        <w:div w:id="1371346512">
          <w:marLeft w:val="0"/>
          <w:marRight w:val="0"/>
          <w:marTop w:val="0"/>
          <w:marBottom w:val="0"/>
          <w:divBdr>
            <w:top w:val="none" w:sz="0" w:space="0" w:color="auto"/>
            <w:left w:val="none" w:sz="0" w:space="0" w:color="auto"/>
            <w:bottom w:val="none" w:sz="0" w:space="0" w:color="auto"/>
            <w:right w:val="none" w:sz="0" w:space="0" w:color="auto"/>
          </w:divBdr>
        </w:div>
        <w:div w:id="1725136768">
          <w:marLeft w:val="0"/>
          <w:marRight w:val="0"/>
          <w:marTop w:val="0"/>
          <w:marBottom w:val="0"/>
          <w:divBdr>
            <w:top w:val="none" w:sz="0" w:space="0" w:color="auto"/>
            <w:left w:val="none" w:sz="0" w:space="0" w:color="auto"/>
            <w:bottom w:val="none" w:sz="0" w:space="0" w:color="auto"/>
            <w:right w:val="none" w:sz="0" w:space="0" w:color="auto"/>
          </w:divBdr>
        </w:div>
        <w:div w:id="1832863402">
          <w:marLeft w:val="0"/>
          <w:marRight w:val="0"/>
          <w:marTop w:val="0"/>
          <w:marBottom w:val="0"/>
          <w:divBdr>
            <w:top w:val="none" w:sz="0" w:space="0" w:color="auto"/>
            <w:left w:val="none" w:sz="0" w:space="0" w:color="auto"/>
            <w:bottom w:val="none" w:sz="0" w:space="0" w:color="auto"/>
            <w:right w:val="none" w:sz="0" w:space="0" w:color="auto"/>
          </w:divBdr>
        </w:div>
        <w:div w:id="2000498567">
          <w:marLeft w:val="0"/>
          <w:marRight w:val="0"/>
          <w:marTop w:val="0"/>
          <w:marBottom w:val="0"/>
          <w:divBdr>
            <w:top w:val="none" w:sz="0" w:space="0" w:color="auto"/>
            <w:left w:val="none" w:sz="0" w:space="0" w:color="auto"/>
            <w:bottom w:val="none" w:sz="0" w:space="0" w:color="auto"/>
            <w:right w:val="none" w:sz="0" w:space="0" w:color="auto"/>
          </w:divBdr>
        </w:div>
        <w:div w:id="2103985283">
          <w:marLeft w:val="0"/>
          <w:marRight w:val="0"/>
          <w:marTop w:val="0"/>
          <w:marBottom w:val="0"/>
          <w:divBdr>
            <w:top w:val="none" w:sz="0" w:space="0" w:color="auto"/>
            <w:left w:val="none" w:sz="0" w:space="0" w:color="auto"/>
            <w:bottom w:val="none" w:sz="0" w:space="0" w:color="auto"/>
            <w:right w:val="none" w:sz="0" w:space="0" w:color="auto"/>
          </w:divBdr>
        </w:div>
      </w:divsChild>
    </w:div>
    <w:div w:id="552885327">
      <w:bodyDiv w:val="1"/>
      <w:marLeft w:val="0"/>
      <w:marRight w:val="0"/>
      <w:marTop w:val="0"/>
      <w:marBottom w:val="0"/>
      <w:divBdr>
        <w:top w:val="none" w:sz="0" w:space="0" w:color="auto"/>
        <w:left w:val="none" w:sz="0" w:space="0" w:color="auto"/>
        <w:bottom w:val="none" w:sz="0" w:space="0" w:color="auto"/>
        <w:right w:val="none" w:sz="0" w:space="0" w:color="auto"/>
      </w:divBdr>
      <w:divsChild>
        <w:div w:id="427819232">
          <w:marLeft w:val="0"/>
          <w:marRight w:val="0"/>
          <w:marTop w:val="0"/>
          <w:marBottom w:val="0"/>
          <w:divBdr>
            <w:top w:val="none" w:sz="0" w:space="0" w:color="auto"/>
            <w:left w:val="none" w:sz="0" w:space="0" w:color="auto"/>
            <w:bottom w:val="none" w:sz="0" w:space="0" w:color="auto"/>
            <w:right w:val="none" w:sz="0" w:space="0" w:color="auto"/>
          </w:divBdr>
          <w:divsChild>
            <w:div w:id="1492987654">
              <w:marLeft w:val="0"/>
              <w:marRight w:val="0"/>
              <w:marTop w:val="0"/>
              <w:marBottom w:val="0"/>
              <w:divBdr>
                <w:top w:val="none" w:sz="0" w:space="0" w:color="auto"/>
                <w:left w:val="none" w:sz="0" w:space="0" w:color="auto"/>
                <w:bottom w:val="none" w:sz="0" w:space="0" w:color="auto"/>
                <w:right w:val="none" w:sz="0" w:space="0" w:color="auto"/>
              </w:divBdr>
              <w:divsChild>
                <w:div w:id="647056345">
                  <w:marLeft w:val="0"/>
                  <w:marRight w:val="0"/>
                  <w:marTop w:val="0"/>
                  <w:marBottom w:val="0"/>
                  <w:divBdr>
                    <w:top w:val="none" w:sz="0" w:space="0" w:color="auto"/>
                    <w:left w:val="none" w:sz="0" w:space="0" w:color="auto"/>
                    <w:bottom w:val="none" w:sz="0" w:space="0" w:color="auto"/>
                    <w:right w:val="none" w:sz="0" w:space="0" w:color="auto"/>
                  </w:divBdr>
                  <w:divsChild>
                    <w:div w:id="109518981">
                      <w:marLeft w:val="0"/>
                      <w:marRight w:val="0"/>
                      <w:marTop w:val="0"/>
                      <w:marBottom w:val="0"/>
                      <w:divBdr>
                        <w:top w:val="none" w:sz="0" w:space="0" w:color="auto"/>
                        <w:left w:val="none" w:sz="0" w:space="0" w:color="auto"/>
                        <w:bottom w:val="none" w:sz="0" w:space="0" w:color="auto"/>
                        <w:right w:val="none" w:sz="0" w:space="0" w:color="auto"/>
                      </w:divBdr>
                      <w:divsChild>
                        <w:div w:id="2336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574222">
      <w:bodyDiv w:val="1"/>
      <w:marLeft w:val="0"/>
      <w:marRight w:val="0"/>
      <w:marTop w:val="0"/>
      <w:marBottom w:val="0"/>
      <w:divBdr>
        <w:top w:val="none" w:sz="0" w:space="0" w:color="auto"/>
        <w:left w:val="none" w:sz="0" w:space="0" w:color="auto"/>
        <w:bottom w:val="none" w:sz="0" w:space="0" w:color="auto"/>
        <w:right w:val="none" w:sz="0" w:space="0" w:color="auto"/>
      </w:divBdr>
      <w:divsChild>
        <w:div w:id="1621451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2303895">
      <w:bodyDiv w:val="1"/>
      <w:marLeft w:val="0"/>
      <w:marRight w:val="0"/>
      <w:marTop w:val="0"/>
      <w:marBottom w:val="0"/>
      <w:divBdr>
        <w:top w:val="none" w:sz="0" w:space="0" w:color="auto"/>
        <w:left w:val="none" w:sz="0" w:space="0" w:color="auto"/>
        <w:bottom w:val="none" w:sz="0" w:space="0" w:color="auto"/>
        <w:right w:val="none" w:sz="0" w:space="0" w:color="auto"/>
      </w:divBdr>
      <w:divsChild>
        <w:div w:id="912786647">
          <w:marLeft w:val="0"/>
          <w:marRight w:val="0"/>
          <w:marTop w:val="100"/>
          <w:marBottom w:val="100"/>
          <w:divBdr>
            <w:top w:val="none" w:sz="0" w:space="0" w:color="auto"/>
            <w:left w:val="none" w:sz="0" w:space="0" w:color="auto"/>
            <w:bottom w:val="none" w:sz="0" w:space="0" w:color="auto"/>
            <w:right w:val="none" w:sz="0" w:space="0" w:color="auto"/>
          </w:divBdr>
          <w:divsChild>
            <w:div w:id="972756631">
              <w:marLeft w:val="0"/>
              <w:marRight w:val="0"/>
              <w:marTop w:val="100"/>
              <w:marBottom w:val="100"/>
              <w:divBdr>
                <w:top w:val="none" w:sz="0" w:space="0" w:color="auto"/>
                <w:left w:val="none" w:sz="0" w:space="0" w:color="auto"/>
                <w:bottom w:val="none" w:sz="0" w:space="0" w:color="auto"/>
                <w:right w:val="none" w:sz="0" w:space="0" w:color="auto"/>
              </w:divBdr>
              <w:divsChild>
                <w:div w:id="272909331">
                  <w:marLeft w:val="0"/>
                  <w:marRight w:val="0"/>
                  <w:marTop w:val="0"/>
                  <w:marBottom w:val="0"/>
                  <w:divBdr>
                    <w:top w:val="none" w:sz="0" w:space="0" w:color="auto"/>
                    <w:left w:val="none" w:sz="0" w:space="0" w:color="auto"/>
                    <w:bottom w:val="none" w:sz="0" w:space="0" w:color="auto"/>
                    <w:right w:val="none" w:sz="0" w:space="0" w:color="auto"/>
                  </w:divBdr>
                  <w:divsChild>
                    <w:div w:id="14577852">
                      <w:marLeft w:val="0"/>
                      <w:marRight w:val="0"/>
                      <w:marTop w:val="225"/>
                      <w:marBottom w:val="225"/>
                      <w:divBdr>
                        <w:top w:val="none" w:sz="0" w:space="0" w:color="auto"/>
                        <w:left w:val="none" w:sz="0" w:space="0" w:color="auto"/>
                        <w:bottom w:val="none" w:sz="0" w:space="0" w:color="auto"/>
                        <w:right w:val="none" w:sz="0" w:space="0" w:color="auto"/>
                      </w:divBdr>
                      <w:divsChild>
                        <w:div w:id="2091535652">
                          <w:marLeft w:val="0"/>
                          <w:marRight w:val="0"/>
                          <w:marTop w:val="225"/>
                          <w:marBottom w:val="225"/>
                          <w:divBdr>
                            <w:top w:val="none" w:sz="0" w:space="0" w:color="auto"/>
                            <w:left w:val="none" w:sz="0" w:space="0" w:color="auto"/>
                            <w:bottom w:val="none" w:sz="0" w:space="0" w:color="auto"/>
                            <w:right w:val="none" w:sz="0" w:space="0" w:color="auto"/>
                          </w:divBdr>
                          <w:divsChild>
                            <w:div w:id="168493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86503">
      <w:bodyDiv w:val="1"/>
      <w:marLeft w:val="0"/>
      <w:marRight w:val="0"/>
      <w:marTop w:val="0"/>
      <w:marBottom w:val="0"/>
      <w:divBdr>
        <w:top w:val="none" w:sz="0" w:space="0" w:color="auto"/>
        <w:left w:val="none" w:sz="0" w:space="0" w:color="auto"/>
        <w:bottom w:val="none" w:sz="0" w:space="0" w:color="auto"/>
        <w:right w:val="none" w:sz="0" w:space="0" w:color="auto"/>
      </w:divBdr>
      <w:divsChild>
        <w:div w:id="1409962968">
          <w:marLeft w:val="0"/>
          <w:marRight w:val="0"/>
          <w:marTop w:val="0"/>
          <w:marBottom w:val="0"/>
          <w:divBdr>
            <w:top w:val="none" w:sz="0" w:space="0" w:color="auto"/>
            <w:left w:val="none" w:sz="0" w:space="0" w:color="auto"/>
            <w:bottom w:val="none" w:sz="0" w:space="0" w:color="auto"/>
            <w:right w:val="none" w:sz="0" w:space="0" w:color="auto"/>
          </w:divBdr>
          <w:divsChild>
            <w:div w:id="1615287911">
              <w:marLeft w:val="0"/>
              <w:marRight w:val="0"/>
              <w:marTop w:val="0"/>
              <w:marBottom w:val="0"/>
              <w:divBdr>
                <w:top w:val="none" w:sz="0" w:space="0" w:color="auto"/>
                <w:left w:val="none" w:sz="0" w:space="0" w:color="auto"/>
                <w:bottom w:val="none" w:sz="0" w:space="0" w:color="auto"/>
                <w:right w:val="none" w:sz="0" w:space="0" w:color="auto"/>
              </w:divBdr>
              <w:divsChild>
                <w:div w:id="21601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14008">
      <w:bodyDiv w:val="1"/>
      <w:marLeft w:val="0"/>
      <w:marRight w:val="0"/>
      <w:marTop w:val="0"/>
      <w:marBottom w:val="0"/>
      <w:divBdr>
        <w:top w:val="none" w:sz="0" w:space="0" w:color="auto"/>
        <w:left w:val="none" w:sz="0" w:space="0" w:color="auto"/>
        <w:bottom w:val="none" w:sz="0" w:space="0" w:color="auto"/>
        <w:right w:val="none" w:sz="0" w:space="0" w:color="auto"/>
      </w:divBdr>
      <w:divsChild>
        <w:div w:id="2054384982">
          <w:marLeft w:val="0"/>
          <w:marRight w:val="0"/>
          <w:marTop w:val="0"/>
          <w:marBottom w:val="0"/>
          <w:divBdr>
            <w:top w:val="none" w:sz="0" w:space="0" w:color="auto"/>
            <w:left w:val="none" w:sz="0" w:space="0" w:color="auto"/>
            <w:bottom w:val="none" w:sz="0" w:space="0" w:color="auto"/>
            <w:right w:val="none" w:sz="0" w:space="0" w:color="auto"/>
          </w:divBdr>
          <w:divsChild>
            <w:div w:id="59408122">
              <w:marLeft w:val="0"/>
              <w:marRight w:val="0"/>
              <w:marTop w:val="0"/>
              <w:marBottom w:val="0"/>
              <w:divBdr>
                <w:top w:val="single" w:sz="2" w:space="0" w:color="BBBBBB"/>
                <w:left w:val="single" w:sz="2" w:space="0" w:color="BBBBBB"/>
                <w:bottom w:val="single" w:sz="2" w:space="0" w:color="666666"/>
                <w:right w:val="single" w:sz="2" w:space="0" w:color="BBBBBB"/>
              </w:divBdr>
              <w:divsChild>
                <w:div w:id="1372070684">
                  <w:marLeft w:val="0"/>
                  <w:marRight w:val="0"/>
                  <w:marTop w:val="0"/>
                  <w:marBottom w:val="0"/>
                  <w:divBdr>
                    <w:top w:val="none" w:sz="0" w:space="0" w:color="auto"/>
                    <w:left w:val="none" w:sz="0" w:space="0" w:color="auto"/>
                    <w:bottom w:val="none" w:sz="0" w:space="0" w:color="auto"/>
                    <w:right w:val="none" w:sz="0" w:space="0" w:color="auto"/>
                  </w:divBdr>
                  <w:divsChild>
                    <w:div w:id="481848590">
                      <w:marLeft w:val="60"/>
                      <w:marRight w:val="0"/>
                      <w:marTop w:val="0"/>
                      <w:marBottom w:val="0"/>
                      <w:divBdr>
                        <w:top w:val="none" w:sz="0" w:space="0" w:color="auto"/>
                        <w:left w:val="none" w:sz="0" w:space="0" w:color="auto"/>
                        <w:bottom w:val="none" w:sz="0" w:space="0" w:color="auto"/>
                        <w:right w:val="none" w:sz="0" w:space="0" w:color="auto"/>
                      </w:divBdr>
                      <w:divsChild>
                        <w:div w:id="103381995">
                          <w:marLeft w:val="0"/>
                          <w:marRight w:val="0"/>
                          <w:marTop w:val="0"/>
                          <w:marBottom w:val="120"/>
                          <w:divBdr>
                            <w:top w:val="none" w:sz="0" w:space="0" w:color="auto"/>
                            <w:left w:val="none" w:sz="0" w:space="0" w:color="auto"/>
                            <w:bottom w:val="none" w:sz="0" w:space="0" w:color="auto"/>
                            <w:right w:val="none" w:sz="0" w:space="0" w:color="auto"/>
                          </w:divBdr>
                          <w:divsChild>
                            <w:div w:id="1513101871">
                              <w:marLeft w:val="0"/>
                              <w:marRight w:val="0"/>
                              <w:marTop w:val="0"/>
                              <w:marBottom w:val="0"/>
                              <w:divBdr>
                                <w:top w:val="none" w:sz="0" w:space="0" w:color="auto"/>
                                <w:left w:val="none" w:sz="0" w:space="0" w:color="auto"/>
                                <w:bottom w:val="none" w:sz="0" w:space="0" w:color="auto"/>
                                <w:right w:val="none" w:sz="0" w:space="0" w:color="auto"/>
                              </w:divBdr>
                              <w:divsChild>
                                <w:div w:id="1747796245">
                                  <w:marLeft w:val="0"/>
                                  <w:marRight w:val="0"/>
                                  <w:marTop w:val="0"/>
                                  <w:marBottom w:val="0"/>
                                  <w:divBdr>
                                    <w:top w:val="none" w:sz="0" w:space="0" w:color="auto"/>
                                    <w:left w:val="none" w:sz="0" w:space="0" w:color="auto"/>
                                    <w:bottom w:val="none" w:sz="0" w:space="0" w:color="auto"/>
                                    <w:right w:val="none" w:sz="0" w:space="0" w:color="auto"/>
                                  </w:divBdr>
                                  <w:divsChild>
                                    <w:div w:id="284196188">
                                      <w:marLeft w:val="0"/>
                                      <w:marRight w:val="0"/>
                                      <w:marTop w:val="0"/>
                                      <w:marBottom w:val="0"/>
                                      <w:divBdr>
                                        <w:top w:val="none" w:sz="0" w:space="0" w:color="auto"/>
                                        <w:left w:val="none" w:sz="0" w:space="0" w:color="auto"/>
                                        <w:bottom w:val="none" w:sz="0" w:space="0" w:color="auto"/>
                                        <w:right w:val="none" w:sz="0" w:space="0" w:color="auto"/>
                                      </w:divBdr>
                                      <w:divsChild>
                                        <w:div w:id="6270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830474">
      <w:bodyDiv w:val="1"/>
      <w:marLeft w:val="0"/>
      <w:marRight w:val="0"/>
      <w:marTop w:val="0"/>
      <w:marBottom w:val="0"/>
      <w:divBdr>
        <w:top w:val="none" w:sz="0" w:space="0" w:color="auto"/>
        <w:left w:val="none" w:sz="0" w:space="0" w:color="auto"/>
        <w:bottom w:val="none" w:sz="0" w:space="0" w:color="auto"/>
        <w:right w:val="none" w:sz="0" w:space="0" w:color="auto"/>
      </w:divBdr>
      <w:divsChild>
        <w:div w:id="2704953">
          <w:marLeft w:val="0"/>
          <w:marRight w:val="0"/>
          <w:marTop w:val="0"/>
          <w:marBottom w:val="0"/>
          <w:divBdr>
            <w:top w:val="none" w:sz="0" w:space="0" w:color="auto"/>
            <w:left w:val="none" w:sz="0" w:space="0" w:color="auto"/>
            <w:bottom w:val="none" w:sz="0" w:space="0" w:color="auto"/>
            <w:right w:val="none" w:sz="0" w:space="0" w:color="auto"/>
          </w:divBdr>
          <w:divsChild>
            <w:div w:id="2050761310">
              <w:marLeft w:val="0"/>
              <w:marRight w:val="0"/>
              <w:marTop w:val="0"/>
              <w:marBottom w:val="0"/>
              <w:divBdr>
                <w:top w:val="none" w:sz="0" w:space="0" w:color="auto"/>
                <w:left w:val="none" w:sz="0" w:space="0" w:color="auto"/>
                <w:bottom w:val="none" w:sz="0" w:space="0" w:color="auto"/>
                <w:right w:val="none" w:sz="0" w:space="0" w:color="auto"/>
              </w:divBdr>
              <w:divsChild>
                <w:div w:id="1477991330">
                  <w:marLeft w:val="0"/>
                  <w:marRight w:val="0"/>
                  <w:marTop w:val="0"/>
                  <w:marBottom w:val="0"/>
                  <w:divBdr>
                    <w:top w:val="none" w:sz="0" w:space="0" w:color="auto"/>
                    <w:left w:val="none" w:sz="0" w:space="0" w:color="auto"/>
                    <w:bottom w:val="none" w:sz="0" w:space="0" w:color="auto"/>
                    <w:right w:val="none" w:sz="0" w:space="0" w:color="auto"/>
                  </w:divBdr>
                  <w:divsChild>
                    <w:div w:id="868296562">
                      <w:marLeft w:val="0"/>
                      <w:marRight w:val="0"/>
                      <w:marTop w:val="0"/>
                      <w:marBottom w:val="0"/>
                      <w:divBdr>
                        <w:top w:val="none" w:sz="0" w:space="0" w:color="auto"/>
                        <w:left w:val="none" w:sz="0" w:space="0" w:color="auto"/>
                        <w:bottom w:val="none" w:sz="0" w:space="0" w:color="auto"/>
                        <w:right w:val="none" w:sz="0" w:space="0" w:color="auto"/>
                      </w:divBdr>
                      <w:divsChild>
                        <w:div w:id="2819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699031">
      <w:bodyDiv w:val="1"/>
      <w:marLeft w:val="0"/>
      <w:marRight w:val="0"/>
      <w:marTop w:val="0"/>
      <w:marBottom w:val="0"/>
      <w:divBdr>
        <w:top w:val="none" w:sz="0" w:space="0" w:color="auto"/>
        <w:left w:val="none" w:sz="0" w:space="0" w:color="auto"/>
        <w:bottom w:val="none" w:sz="0" w:space="0" w:color="auto"/>
        <w:right w:val="none" w:sz="0" w:space="0" w:color="auto"/>
      </w:divBdr>
    </w:div>
    <w:div w:id="770928867">
      <w:bodyDiv w:val="1"/>
      <w:marLeft w:val="0"/>
      <w:marRight w:val="0"/>
      <w:marTop w:val="0"/>
      <w:marBottom w:val="0"/>
      <w:divBdr>
        <w:top w:val="none" w:sz="0" w:space="0" w:color="auto"/>
        <w:left w:val="none" w:sz="0" w:space="0" w:color="auto"/>
        <w:bottom w:val="none" w:sz="0" w:space="0" w:color="auto"/>
        <w:right w:val="none" w:sz="0" w:space="0" w:color="auto"/>
      </w:divBdr>
    </w:div>
    <w:div w:id="781650566">
      <w:bodyDiv w:val="1"/>
      <w:marLeft w:val="0"/>
      <w:marRight w:val="0"/>
      <w:marTop w:val="0"/>
      <w:marBottom w:val="0"/>
      <w:divBdr>
        <w:top w:val="none" w:sz="0" w:space="0" w:color="auto"/>
        <w:left w:val="none" w:sz="0" w:space="0" w:color="auto"/>
        <w:bottom w:val="none" w:sz="0" w:space="0" w:color="auto"/>
        <w:right w:val="none" w:sz="0" w:space="0" w:color="auto"/>
      </w:divBdr>
      <w:divsChild>
        <w:div w:id="2128817173">
          <w:marLeft w:val="0"/>
          <w:marRight w:val="0"/>
          <w:marTop w:val="0"/>
          <w:marBottom w:val="0"/>
          <w:divBdr>
            <w:top w:val="none" w:sz="0" w:space="0" w:color="auto"/>
            <w:left w:val="none" w:sz="0" w:space="0" w:color="auto"/>
            <w:bottom w:val="none" w:sz="0" w:space="0" w:color="auto"/>
            <w:right w:val="none" w:sz="0" w:space="0" w:color="auto"/>
          </w:divBdr>
          <w:divsChild>
            <w:div w:id="390689199">
              <w:marLeft w:val="0"/>
              <w:marRight w:val="0"/>
              <w:marTop w:val="0"/>
              <w:marBottom w:val="0"/>
              <w:divBdr>
                <w:top w:val="none" w:sz="0" w:space="0" w:color="auto"/>
                <w:left w:val="none" w:sz="0" w:space="0" w:color="auto"/>
                <w:bottom w:val="none" w:sz="0" w:space="0" w:color="auto"/>
                <w:right w:val="none" w:sz="0" w:space="0" w:color="auto"/>
              </w:divBdr>
              <w:divsChild>
                <w:div w:id="1666398506">
                  <w:marLeft w:val="0"/>
                  <w:marRight w:val="0"/>
                  <w:marTop w:val="0"/>
                  <w:marBottom w:val="0"/>
                  <w:divBdr>
                    <w:top w:val="none" w:sz="0" w:space="0" w:color="auto"/>
                    <w:left w:val="none" w:sz="0" w:space="0" w:color="auto"/>
                    <w:bottom w:val="none" w:sz="0" w:space="0" w:color="auto"/>
                    <w:right w:val="none" w:sz="0" w:space="0" w:color="auto"/>
                  </w:divBdr>
                  <w:divsChild>
                    <w:div w:id="1202666673">
                      <w:marLeft w:val="0"/>
                      <w:marRight w:val="0"/>
                      <w:marTop w:val="0"/>
                      <w:marBottom w:val="0"/>
                      <w:divBdr>
                        <w:top w:val="none" w:sz="0" w:space="0" w:color="auto"/>
                        <w:left w:val="none" w:sz="0" w:space="0" w:color="auto"/>
                        <w:bottom w:val="none" w:sz="0" w:space="0" w:color="auto"/>
                        <w:right w:val="none" w:sz="0" w:space="0" w:color="auto"/>
                      </w:divBdr>
                      <w:divsChild>
                        <w:div w:id="190529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127418">
      <w:bodyDiv w:val="1"/>
      <w:marLeft w:val="0"/>
      <w:marRight w:val="0"/>
      <w:marTop w:val="0"/>
      <w:marBottom w:val="0"/>
      <w:divBdr>
        <w:top w:val="none" w:sz="0" w:space="0" w:color="auto"/>
        <w:left w:val="none" w:sz="0" w:space="0" w:color="auto"/>
        <w:bottom w:val="none" w:sz="0" w:space="0" w:color="auto"/>
        <w:right w:val="none" w:sz="0" w:space="0" w:color="auto"/>
      </w:divBdr>
    </w:div>
    <w:div w:id="810974530">
      <w:bodyDiv w:val="1"/>
      <w:marLeft w:val="0"/>
      <w:marRight w:val="0"/>
      <w:marTop w:val="0"/>
      <w:marBottom w:val="0"/>
      <w:divBdr>
        <w:top w:val="none" w:sz="0" w:space="0" w:color="auto"/>
        <w:left w:val="none" w:sz="0" w:space="0" w:color="auto"/>
        <w:bottom w:val="none" w:sz="0" w:space="0" w:color="auto"/>
        <w:right w:val="none" w:sz="0" w:space="0" w:color="auto"/>
      </w:divBdr>
      <w:divsChild>
        <w:div w:id="694232181">
          <w:marLeft w:val="0"/>
          <w:marRight w:val="0"/>
          <w:marTop w:val="0"/>
          <w:marBottom w:val="0"/>
          <w:divBdr>
            <w:top w:val="none" w:sz="0" w:space="0" w:color="auto"/>
            <w:left w:val="none" w:sz="0" w:space="0" w:color="auto"/>
            <w:bottom w:val="none" w:sz="0" w:space="0" w:color="auto"/>
            <w:right w:val="none" w:sz="0" w:space="0" w:color="auto"/>
          </w:divBdr>
          <w:divsChild>
            <w:div w:id="811094643">
              <w:marLeft w:val="0"/>
              <w:marRight w:val="0"/>
              <w:marTop w:val="0"/>
              <w:marBottom w:val="0"/>
              <w:divBdr>
                <w:top w:val="none" w:sz="0" w:space="0" w:color="auto"/>
                <w:left w:val="none" w:sz="0" w:space="0" w:color="auto"/>
                <w:bottom w:val="none" w:sz="0" w:space="0" w:color="auto"/>
                <w:right w:val="none" w:sz="0" w:space="0" w:color="auto"/>
              </w:divBdr>
              <w:divsChild>
                <w:div w:id="242495152">
                  <w:marLeft w:val="0"/>
                  <w:marRight w:val="0"/>
                  <w:marTop w:val="0"/>
                  <w:marBottom w:val="0"/>
                  <w:divBdr>
                    <w:top w:val="none" w:sz="0" w:space="0" w:color="auto"/>
                    <w:left w:val="none" w:sz="0" w:space="0" w:color="auto"/>
                    <w:bottom w:val="none" w:sz="0" w:space="0" w:color="auto"/>
                    <w:right w:val="none" w:sz="0" w:space="0" w:color="auto"/>
                  </w:divBdr>
                  <w:divsChild>
                    <w:div w:id="1531146355">
                      <w:marLeft w:val="0"/>
                      <w:marRight w:val="0"/>
                      <w:marTop w:val="0"/>
                      <w:marBottom w:val="0"/>
                      <w:divBdr>
                        <w:top w:val="none" w:sz="0" w:space="0" w:color="auto"/>
                        <w:left w:val="none" w:sz="0" w:space="0" w:color="auto"/>
                        <w:bottom w:val="none" w:sz="0" w:space="0" w:color="auto"/>
                        <w:right w:val="none" w:sz="0" w:space="0" w:color="auto"/>
                      </w:divBdr>
                      <w:divsChild>
                        <w:div w:id="8815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767783">
      <w:bodyDiv w:val="1"/>
      <w:marLeft w:val="0"/>
      <w:marRight w:val="0"/>
      <w:marTop w:val="0"/>
      <w:marBottom w:val="0"/>
      <w:divBdr>
        <w:top w:val="none" w:sz="0" w:space="0" w:color="auto"/>
        <w:left w:val="none" w:sz="0" w:space="0" w:color="auto"/>
        <w:bottom w:val="none" w:sz="0" w:space="0" w:color="auto"/>
        <w:right w:val="none" w:sz="0" w:space="0" w:color="auto"/>
      </w:divBdr>
    </w:div>
    <w:div w:id="898368170">
      <w:bodyDiv w:val="1"/>
      <w:marLeft w:val="0"/>
      <w:marRight w:val="0"/>
      <w:marTop w:val="0"/>
      <w:marBottom w:val="0"/>
      <w:divBdr>
        <w:top w:val="none" w:sz="0" w:space="0" w:color="auto"/>
        <w:left w:val="none" w:sz="0" w:space="0" w:color="auto"/>
        <w:bottom w:val="none" w:sz="0" w:space="0" w:color="auto"/>
        <w:right w:val="none" w:sz="0" w:space="0" w:color="auto"/>
      </w:divBdr>
      <w:divsChild>
        <w:div w:id="359432093">
          <w:marLeft w:val="0"/>
          <w:marRight w:val="0"/>
          <w:marTop w:val="0"/>
          <w:marBottom w:val="0"/>
          <w:divBdr>
            <w:top w:val="none" w:sz="0" w:space="0" w:color="auto"/>
            <w:left w:val="none" w:sz="0" w:space="0" w:color="auto"/>
            <w:bottom w:val="none" w:sz="0" w:space="0" w:color="auto"/>
            <w:right w:val="none" w:sz="0" w:space="0" w:color="auto"/>
          </w:divBdr>
        </w:div>
        <w:div w:id="1101609418">
          <w:marLeft w:val="0"/>
          <w:marRight w:val="0"/>
          <w:marTop w:val="0"/>
          <w:marBottom w:val="0"/>
          <w:divBdr>
            <w:top w:val="none" w:sz="0" w:space="0" w:color="auto"/>
            <w:left w:val="none" w:sz="0" w:space="0" w:color="auto"/>
            <w:bottom w:val="none" w:sz="0" w:space="0" w:color="auto"/>
            <w:right w:val="none" w:sz="0" w:space="0" w:color="auto"/>
          </w:divBdr>
        </w:div>
        <w:div w:id="1240289744">
          <w:marLeft w:val="0"/>
          <w:marRight w:val="0"/>
          <w:marTop w:val="0"/>
          <w:marBottom w:val="0"/>
          <w:divBdr>
            <w:top w:val="none" w:sz="0" w:space="0" w:color="auto"/>
            <w:left w:val="none" w:sz="0" w:space="0" w:color="auto"/>
            <w:bottom w:val="none" w:sz="0" w:space="0" w:color="auto"/>
            <w:right w:val="none" w:sz="0" w:space="0" w:color="auto"/>
          </w:divBdr>
        </w:div>
      </w:divsChild>
    </w:div>
    <w:div w:id="960112745">
      <w:bodyDiv w:val="1"/>
      <w:marLeft w:val="0"/>
      <w:marRight w:val="0"/>
      <w:marTop w:val="0"/>
      <w:marBottom w:val="0"/>
      <w:divBdr>
        <w:top w:val="none" w:sz="0" w:space="0" w:color="auto"/>
        <w:left w:val="none" w:sz="0" w:space="0" w:color="auto"/>
        <w:bottom w:val="none" w:sz="0" w:space="0" w:color="auto"/>
        <w:right w:val="none" w:sz="0" w:space="0" w:color="auto"/>
      </w:divBdr>
    </w:div>
    <w:div w:id="975447453">
      <w:bodyDiv w:val="1"/>
      <w:marLeft w:val="0"/>
      <w:marRight w:val="0"/>
      <w:marTop w:val="0"/>
      <w:marBottom w:val="0"/>
      <w:divBdr>
        <w:top w:val="none" w:sz="0" w:space="0" w:color="auto"/>
        <w:left w:val="none" w:sz="0" w:space="0" w:color="auto"/>
        <w:bottom w:val="none" w:sz="0" w:space="0" w:color="auto"/>
        <w:right w:val="none" w:sz="0" w:space="0" w:color="auto"/>
      </w:divBdr>
      <w:divsChild>
        <w:div w:id="311713333">
          <w:marLeft w:val="0"/>
          <w:marRight w:val="0"/>
          <w:marTop w:val="0"/>
          <w:marBottom w:val="0"/>
          <w:divBdr>
            <w:top w:val="none" w:sz="0" w:space="0" w:color="auto"/>
            <w:left w:val="none" w:sz="0" w:space="0" w:color="auto"/>
            <w:bottom w:val="none" w:sz="0" w:space="0" w:color="auto"/>
            <w:right w:val="none" w:sz="0" w:space="0" w:color="auto"/>
          </w:divBdr>
          <w:divsChild>
            <w:div w:id="887035529">
              <w:marLeft w:val="0"/>
              <w:marRight w:val="0"/>
              <w:marTop w:val="276"/>
              <w:marBottom w:val="276"/>
              <w:divBdr>
                <w:top w:val="single" w:sz="48" w:space="0" w:color="D72D18"/>
                <w:left w:val="none" w:sz="0" w:space="0" w:color="auto"/>
                <w:bottom w:val="none" w:sz="0" w:space="0" w:color="auto"/>
                <w:right w:val="none" w:sz="0" w:space="0" w:color="auto"/>
              </w:divBdr>
              <w:divsChild>
                <w:div w:id="791676519">
                  <w:marLeft w:val="0"/>
                  <w:marRight w:val="0"/>
                  <w:marTop w:val="0"/>
                  <w:marBottom w:val="0"/>
                  <w:divBdr>
                    <w:top w:val="none" w:sz="0" w:space="0" w:color="auto"/>
                    <w:left w:val="none" w:sz="0" w:space="0" w:color="auto"/>
                    <w:bottom w:val="none" w:sz="0" w:space="0" w:color="auto"/>
                    <w:right w:val="none" w:sz="0" w:space="0" w:color="auto"/>
                  </w:divBdr>
                  <w:divsChild>
                    <w:div w:id="1341854536">
                      <w:marLeft w:val="0"/>
                      <w:marRight w:val="0"/>
                      <w:marTop w:val="0"/>
                      <w:marBottom w:val="0"/>
                      <w:divBdr>
                        <w:top w:val="none" w:sz="0" w:space="0" w:color="auto"/>
                        <w:left w:val="none" w:sz="0" w:space="0" w:color="auto"/>
                        <w:bottom w:val="none" w:sz="0" w:space="0" w:color="auto"/>
                        <w:right w:val="none" w:sz="0" w:space="0" w:color="auto"/>
                      </w:divBdr>
                      <w:divsChild>
                        <w:div w:id="747776839">
                          <w:marLeft w:val="-360"/>
                          <w:marRight w:val="0"/>
                          <w:marTop w:val="0"/>
                          <w:marBottom w:val="0"/>
                          <w:divBdr>
                            <w:top w:val="none" w:sz="0" w:space="0" w:color="auto"/>
                            <w:left w:val="none" w:sz="0" w:space="0" w:color="auto"/>
                            <w:bottom w:val="none" w:sz="0" w:space="0" w:color="auto"/>
                            <w:right w:val="none" w:sz="0" w:space="0" w:color="auto"/>
                          </w:divBdr>
                          <w:divsChild>
                            <w:div w:id="490027633">
                              <w:marLeft w:val="360"/>
                              <w:marRight w:val="0"/>
                              <w:marTop w:val="0"/>
                              <w:marBottom w:val="0"/>
                              <w:divBdr>
                                <w:top w:val="none" w:sz="0" w:space="0" w:color="auto"/>
                                <w:left w:val="none" w:sz="0" w:space="0" w:color="auto"/>
                                <w:bottom w:val="none" w:sz="0" w:space="0" w:color="auto"/>
                                <w:right w:val="none" w:sz="0" w:space="0" w:color="auto"/>
                              </w:divBdr>
                              <w:divsChild>
                                <w:div w:id="1625963358">
                                  <w:marLeft w:val="-360"/>
                                  <w:marRight w:val="-360"/>
                                  <w:marTop w:val="0"/>
                                  <w:marBottom w:val="360"/>
                                  <w:divBdr>
                                    <w:top w:val="none" w:sz="0" w:space="0" w:color="auto"/>
                                    <w:left w:val="none" w:sz="0" w:space="0" w:color="auto"/>
                                    <w:bottom w:val="none" w:sz="0" w:space="0" w:color="auto"/>
                                    <w:right w:val="none" w:sz="0" w:space="0" w:color="auto"/>
                                  </w:divBdr>
                                  <w:divsChild>
                                    <w:div w:id="17697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6032641">
      <w:bodyDiv w:val="1"/>
      <w:marLeft w:val="0"/>
      <w:marRight w:val="0"/>
      <w:marTop w:val="0"/>
      <w:marBottom w:val="0"/>
      <w:divBdr>
        <w:top w:val="none" w:sz="0" w:space="0" w:color="auto"/>
        <w:left w:val="none" w:sz="0" w:space="0" w:color="auto"/>
        <w:bottom w:val="none" w:sz="0" w:space="0" w:color="auto"/>
        <w:right w:val="none" w:sz="0" w:space="0" w:color="auto"/>
      </w:divBdr>
      <w:divsChild>
        <w:div w:id="1047873709">
          <w:marLeft w:val="0"/>
          <w:marRight w:val="0"/>
          <w:marTop w:val="0"/>
          <w:marBottom w:val="0"/>
          <w:divBdr>
            <w:top w:val="none" w:sz="0" w:space="0" w:color="auto"/>
            <w:left w:val="none" w:sz="0" w:space="0" w:color="auto"/>
            <w:bottom w:val="none" w:sz="0" w:space="0" w:color="auto"/>
            <w:right w:val="none" w:sz="0" w:space="0" w:color="auto"/>
          </w:divBdr>
          <w:divsChild>
            <w:div w:id="1677612753">
              <w:marLeft w:val="0"/>
              <w:marRight w:val="0"/>
              <w:marTop w:val="0"/>
              <w:marBottom w:val="0"/>
              <w:divBdr>
                <w:top w:val="none" w:sz="0" w:space="0" w:color="auto"/>
                <w:left w:val="none" w:sz="0" w:space="0" w:color="auto"/>
                <w:bottom w:val="none" w:sz="0" w:space="0" w:color="auto"/>
                <w:right w:val="none" w:sz="0" w:space="0" w:color="auto"/>
              </w:divBdr>
              <w:divsChild>
                <w:div w:id="1208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78028">
      <w:bodyDiv w:val="1"/>
      <w:marLeft w:val="0"/>
      <w:marRight w:val="0"/>
      <w:marTop w:val="0"/>
      <w:marBottom w:val="0"/>
      <w:divBdr>
        <w:top w:val="none" w:sz="0" w:space="0" w:color="auto"/>
        <w:left w:val="none" w:sz="0" w:space="0" w:color="auto"/>
        <w:bottom w:val="none" w:sz="0" w:space="0" w:color="auto"/>
        <w:right w:val="none" w:sz="0" w:space="0" w:color="auto"/>
      </w:divBdr>
    </w:div>
    <w:div w:id="1052923384">
      <w:bodyDiv w:val="1"/>
      <w:marLeft w:val="0"/>
      <w:marRight w:val="0"/>
      <w:marTop w:val="0"/>
      <w:marBottom w:val="0"/>
      <w:divBdr>
        <w:top w:val="none" w:sz="0" w:space="0" w:color="auto"/>
        <w:left w:val="none" w:sz="0" w:space="0" w:color="auto"/>
        <w:bottom w:val="none" w:sz="0" w:space="0" w:color="auto"/>
        <w:right w:val="none" w:sz="0" w:space="0" w:color="auto"/>
      </w:divBdr>
      <w:divsChild>
        <w:div w:id="652367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132472">
      <w:bodyDiv w:val="1"/>
      <w:marLeft w:val="0"/>
      <w:marRight w:val="0"/>
      <w:marTop w:val="0"/>
      <w:marBottom w:val="0"/>
      <w:divBdr>
        <w:top w:val="none" w:sz="0" w:space="0" w:color="auto"/>
        <w:left w:val="none" w:sz="0" w:space="0" w:color="auto"/>
        <w:bottom w:val="none" w:sz="0" w:space="0" w:color="auto"/>
        <w:right w:val="none" w:sz="0" w:space="0" w:color="auto"/>
      </w:divBdr>
    </w:div>
    <w:div w:id="1121652534">
      <w:bodyDiv w:val="1"/>
      <w:marLeft w:val="0"/>
      <w:marRight w:val="0"/>
      <w:marTop w:val="0"/>
      <w:marBottom w:val="0"/>
      <w:divBdr>
        <w:top w:val="none" w:sz="0" w:space="0" w:color="auto"/>
        <w:left w:val="none" w:sz="0" w:space="0" w:color="auto"/>
        <w:bottom w:val="none" w:sz="0" w:space="0" w:color="auto"/>
        <w:right w:val="none" w:sz="0" w:space="0" w:color="auto"/>
      </w:divBdr>
      <w:divsChild>
        <w:div w:id="527840511">
          <w:marLeft w:val="0"/>
          <w:marRight w:val="0"/>
          <w:marTop w:val="0"/>
          <w:marBottom w:val="0"/>
          <w:divBdr>
            <w:top w:val="none" w:sz="0" w:space="0" w:color="auto"/>
            <w:left w:val="none" w:sz="0" w:space="0" w:color="auto"/>
            <w:bottom w:val="none" w:sz="0" w:space="0" w:color="auto"/>
            <w:right w:val="none" w:sz="0" w:space="0" w:color="auto"/>
          </w:divBdr>
          <w:divsChild>
            <w:div w:id="199779980">
              <w:marLeft w:val="0"/>
              <w:marRight w:val="0"/>
              <w:marTop w:val="0"/>
              <w:marBottom w:val="0"/>
              <w:divBdr>
                <w:top w:val="none" w:sz="0" w:space="0" w:color="auto"/>
                <w:left w:val="none" w:sz="0" w:space="0" w:color="auto"/>
                <w:bottom w:val="none" w:sz="0" w:space="0" w:color="auto"/>
                <w:right w:val="none" w:sz="0" w:space="0" w:color="auto"/>
              </w:divBdr>
            </w:div>
            <w:div w:id="563295134">
              <w:marLeft w:val="0"/>
              <w:marRight w:val="0"/>
              <w:marTop w:val="0"/>
              <w:marBottom w:val="0"/>
              <w:divBdr>
                <w:top w:val="none" w:sz="0" w:space="0" w:color="auto"/>
                <w:left w:val="none" w:sz="0" w:space="0" w:color="auto"/>
                <w:bottom w:val="none" w:sz="0" w:space="0" w:color="auto"/>
                <w:right w:val="none" w:sz="0" w:space="0" w:color="auto"/>
              </w:divBdr>
            </w:div>
            <w:div w:id="664670211">
              <w:marLeft w:val="0"/>
              <w:marRight w:val="0"/>
              <w:marTop w:val="0"/>
              <w:marBottom w:val="0"/>
              <w:divBdr>
                <w:top w:val="none" w:sz="0" w:space="0" w:color="auto"/>
                <w:left w:val="none" w:sz="0" w:space="0" w:color="auto"/>
                <w:bottom w:val="none" w:sz="0" w:space="0" w:color="auto"/>
                <w:right w:val="none" w:sz="0" w:space="0" w:color="auto"/>
              </w:divBdr>
            </w:div>
            <w:div w:id="1283075026">
              <w:marLeft w:val="0"/>
              <w:marRight w:val="0"/>
              <w:marTop w:val="0"/>
              <w:marBottom w:val="0"/>
              <w:divBdr>
                <w:top w:val="none" w:sz="0" w:space="0" w:color="auto"/>
                <w:left w:val="none" w:sz="0" w:space="0" w:color="auto"/>
                <w:bottom w:val="none" w:sz="0" w:space="0" w:color="auto"/>
                <w:right w:val="none" w:sz="0" w:space="0" w:color="auto"/>
              </w:divBdr>
            </w:div>
            <w:div w:id="129618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067664">
      <w:bodyDiv w:val="1"/>
      <w:marLeft w:val="0"/>
      <w:marRight w:val="0"/>
      <w:marTop w:val="0"/>
      <w:marBottom w:val="0"/>
      <w:divBdr>
        <w:top w:val="none" w:sz="0" w:space="0" w:color="auto"/>
        <w:left w:val="none" w:sz="0" w:space="0" w:color="auto"/>
        <w:bottom w:val="none" w:sz="0" w:space="0" w:color="auto"/>
        <w:right w:val="none" w:sz="0" w:space="0" w:color="auto"/>
      </w:divBdr>
      <w:divsChild>
        <w:div w:id="2099937187">
          <w:marLeft w:val="0"/>
          <w:marRight w:val="0"/>
          <w:marTop w:val="0"/>
          <w:marBottom w:val="0"/>
          <w:divBdr>
            <w:top w:val="none" w:sz="0" w:space="0" w:color="auto"/>
            <w:left w:val="none" w:sz="0" w:space="0" w:color="auto"/>
            <w:bottom w:val="none" w:sz="0" w:space="0" w:color="auto"/>
            <w:right w:val="none" w:sz="0" w:space="0" w:color="auto"/>
          </w:divBdr>
          <w:divsChild>
            <w:div w:id="61997903">
              <w:marLeft w:val="0"/>
              <w:marRight w:val="0"/>
              <w:marTop w:val="0"/>
              <w:marBottom w:val="0"/>
              <w:divBdr>
                <w:top w:val="none" w:sz="0" w:space="0" w:color="auto"/>
                <w:left w:val="none" w:sz="0" w:space="0" w:color="auto"/>
                <w:bottom w:val="none" w:sz="0" w:space="0" w:color="auto"/>
                <w:right w:val="none" w:sz="0" w:space="0" w:color="auto"/>
              </w:divBdr>
              <w:divsChild>
                <w:div w:id="1618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13165">
      <w:bodyDiv w:val="1"/>
      <w:marLeft w:val="0"/>
      <w:marRight w:val="0"/>
      <w:marTop w:val="0"/>
      <w:marBottom w:val="0"/>
      <w:divBdr>
        <w:top w:val="none" w:sz="0" w:space="0" w:color="auto"/>
        <w:left w:val="none" w:sz="0" w:space="0" w:color="auto"/>
        <w:bottom w:val="none" w:sz="0" w:space="0" w:color="auto"/>
        <w:right w:val="none" w:sz="0" w:space="0" w:color="auto"/>
      </w:divBdr>
    </w:div>
    <w:div w:id="1161774853">
      <w:bodyDiv w:val="1"/>
      <w:marLeft w:val="0"/>
      <w:marRight w:val="0"/>
      <w:marTop w:val="0"/>
      <w:marBottom w:val="0"/>
      <w:divBdr>
        <w:top w:val="none" w:sz="0" w:space="0" w:color="auto"/>
        <w:left w:val="none" w:sz="0" w:space="0" w:color="auto"/>
        <w:bottom w:val="none" w:sz="0" w:space="0" w:color="auto"/>
        <w:right w:val="none" w:sz="0" w:space="0" w:color="auto"/>
      </w:divBdr>
      <w:divsChild>
        <w:div w:id="144441541">
          <w:marLeft w:val="0"/>
          <w:marRight w:val="0"/>
          <w:marTop w:val="0"/>
          <w:marBottom w:val="0"/>
          <w:divBdr>
            <w:top w:val="none" w:sz="0" w:space="0" w:color="auto"/>
            <w:left w:val="none" w:sz="0" w:space="0" w:color="auto"/>
            <w:bottom w:val="none" w:sz="0" w:space="0" w:color="auto"/>
            <w:right w:val="none" w:sz="0" w:space="0" w:color="auto"/>
          </w:divBdr>
        </w:div>
        <w:div w:id="541283297">
          <w:marLeft w:val="0"/>
          <w:marRight w:val="0"/>
          <w:marTop w:val="0"/>
          <w:marBottom w:val="0"/>
          <w:divBdr>
            <w:top w:val="none" w:sz="0" w:space="0" w:color="auto"/>
            <w:left w:val="none" w:sz="0" w:space="0" w:color="auto"/>
            <w:bottom w:val="none" w:sz="0" w:space="0" w:color="auto"/>
            <w:right w:val="none" w:sz="0" w:space="0" w:color="auto"/>
          </w:divBdr>
        </w:div>
        <w:div w:id="1979913923">
          <w:marLeft w:val="0"/>
          <w:marRight w:val="0"/>
          <w:marTop w:val="0"/>
          <w:marBottom w:val="0"/>
          <w:divBdr>
            <w:top w:val="none" w:sz="0" w:space="0" w:color="auto"/>
            <w:left w:val="none" w:sz="0" w:space="0" w:color="auto"/>
            <w:bottom w:val="none" w:sz="0" w:space="0" w:color="auto"/>
            <w:right w:val="none" w:sz="0" w:space="0" w:color="auto"/>
          </w:divBdr>
        </w:div>
      </w:divsChild>
    </w:div>
    <w:div w:id="1235553532">
      <w:bodyDiv w:val="1"/>
      <w:marLeft w:val="0"/>
      <w:marRight w:val="0"/>
      <w:marTop w:val="0"/>
      <w:marBottom w:val="0"/>
      <w:divBdr>
        <w:top w:val="none" w:sz="0" w:space="0" w:color="auto"/>
        <w:left w:val="none" w:sz="0" w:space="0" w:color="auto"/>
        <w:bottom w:val="none" w:sz="0" w:space="0" w:color="auto"/>
        <w:right w:val="none" w:sz="0" w:space="0" w:color="auto"/>
      </w:divBdr>
      <w:divsChild>
        <w:div w:id="250819129">
          <w:marLeft w:val="0"/>
          <w:marRight w:val="0"/>
          <w:marTop w:val="0"/>
          <w:marBottom w:val="0"/>
          <w:divBdr>
            <w:top w:val="none" w:sz="0" w:space="0" w:color="auto"/>
            <w:left w:val="none" w:sz="0" w:space="0" w:color="auto"/>
            <w:bottom w:val="none" w:sz="0" w:space="0" w:color="auto"/>
            <w:right w:val="none" w:sz="0" w:space="0" w:color="auto"/>
          </w:divBdr>
          <w:divsChild>
            <w:div w:id="1182668872">
              <w:marLeft w:val="0"/>
              <w:marRight w:val="0"/>
              <w:marTop w:val="0"/>
              <w:marBottom w:val="0"/>
              <w:divBdr>
                <w:top w:val="none" w:sz="0" w:space="0" w:color="auto"/>
                <w:left w:val="none" w:sz="0" w:space="0" w:color="auto"/>
                <w:bottom w:val="none" w:sz="0" w:space="0" w:color="auto"/>
                <w:right w:val="none" w:sz="0" w:space="0" w:color="auto"/>
              </w:divBdr>
              <w:divsChild>
                <w:div w:id="128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97758">
      <w:bodyDiv w:val="1"/>
      <w:marLeft w:val="0"/>
      <w:marRight w:val="0"/>
      <w:marTop w:val="0"/>
      <w:marBottom w:val="0"/>
      <w:divBdr>
        <w:top w:val="none" w:sz="0" w:space="0" w:color="auto"/>
        <w:left w:val="none" w:sz="0" w:space="0" w:color="auto"/>
        <w:bottom w:val="none" w:sz="0" w:space="0" w:color="auto"/>
        <w:right w:val="none" w:sz="0" w:space="0" w:color="auto"/>
      </w:divBdr>
      <w:divsChild>
        <w:div w:id="1227572861">
          <w:marLeft w:val="0"/>
          <w:marRight w:val="0"/>
          <w:marTop w:val="0"/>
          <w:marBottom w:val="0"/>
          <w:divBdr>
            <w:top w:val="none" w:sz="0" w:space="0" w:color="auto"/>
            <w:left w:val="none" w:sz="0" w:space="0" w:color="auto"/>
            <w:bottom w:val="none" w:sz="0" w:space="0" w:color="auto"/>
            <w:right w:val="none" w:sz="0" w:space="0" w:color="auto"/>
          </w:divBdr>
          <w:divsChild>
            <w:div w:id="626857560">
              <w:marLeft w:val="0"/>
              <w:marRight w:val="0"/>
              <w:marTop w:val="276"/>
              <w:marBottom w:val="276"/>
              <w:divBdr>
                <w:top w:val="single" w:sz="48" w:space="0" w:color="D72D18"/>
                <w:left w:val="none" w:sz="0" w:space="0" w:color="auto"/>
                <w:bottom w:val="none" w:sz="0" w:space="0" w:color="auto"/>
                <w:right w:val="none" w:sz="0" w:space="0" w:color="auto"/>
              </w:divBdr>
              <w:divsChild>
                <w:div w:id="1172112725">
                  <w:marLeft w:val="0"/>
                  <w:marRight w:val="0"/>
                  <w:marTop w:val="0"/>
                  <w:marBottom w:val="0"/>
                  <w:divBdr>
                    <w:top w:val="none" w:sz="0" w:space="0" w:color="auto"/>
                    <w:left w:val="none" w:sz="0" w:space="0" w:color="auto"/>
                    <w:bottom w:val="none" w:sz="0" w:space="0" w:color="auto"/>
                    <w:right w:val="none" w:sz="0" w:space="0" w:color="auto"/>
                  </w:divBdr>
                  <w:divsChild>
                    <w:div w:id="2062944448">
                      <w:marLeft w:val="0"/>
                      <w:marRight w:val="0"/>
                      <w:marTop w:val="0"/>
                      <w:marBottom w:val="0"/>
                      <w:divBdr>
                        <w:top w:val="none" w:sz="0" w:space="0" w:color="auto"/>
                        <w:left w:val="none" w:sz="0" w:space="0" w:color="auto"/>
                        <w:bottom w:val="none" w:sz="0" w:space="0" w:color="auto"/>
                        <w:right w:val="none" w:sz="0" w:space="0" w:color="auto"/>
                      </w:divBdr>
                      <w:divsChild>
                        <w:div w:id="366638982">
                          <w:marLeft w:val="-360"/>
                          <w:marRight w:val="0"/>
                          <w:marTop w:val="0"/>
                          <w:marBottom w:val="0"/>
                          <w:divBdr>
                            <w:top w:val="none" w:sz="0" w:space="0" w:color="auto"/>
                            <w:left w:val="none" w:sz="0" w:space="0" w:color="auto"/>
                            <w:bottom w:val="none" w:sz="0" w:space="0" w:color="auto"/>
                            <w:right w:val="none" w:sz="0" w:space="0" w:color="auto"/>
                          </w:divBdr>
                          <w:divsChild>
                            <w:div w:id="1649213948">
                              <w:marLeft w:val="360"/>
                              <w:marRight w:val="0"/>
                              <w:marTop w:val="0"/>
                              <w:marBottom w:val="0"/>
                              <w:divBdr>
                                <w:top w:val="none" w:sz="0" w:space="0" w:color="auto"/>
                                <w:left w:val="none" w:sz="0" w:space="0" w:color="auto"/>
                                <w:bottom w:val="none" w:sz="0" w:space="0" w:color="auto"/>
                                <w:right w:val="none" w:sz="0" w:space="0" w:color="auto"/>
                              </w:divBdr>
                              <w:divsChild>
                                <w:div w:id="884487307">
                                  <w:marLeft w:val="-360"/>
                                  <w:marRight w:val="-360"/>
                                  <w:marTop w:val="0"/>
                                  <w:marBottom w:val="360"/>
                                  <w:divBdr>
                                    <w:top w:val="none" w:sz="0" w:space="0" w:color="auto"/>
                                    <w:left w:val="none" w:sz="0" w:space="0" w:color="auto"/>
                                    <w:bottom w:val="none" w:sz="0" w:space="0" w:color="auto"/>
                                    <w:right w:val="none" w:sz="0" w:space="0" w:color="auto"/>
                                  </w:divBdr>
                                  <w:divsChild>
                                    <w:div w:id="195882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1380976">
      <w:bodyDiv w:val="1"/>
      <w:marLeft w:val="0"/>
      <w:marRight w:val="0"/>
      <w:marTop w:val="0"/>
      <w:marBottom w:val="0"/>
      <w:divBdr>
        <w:top w:val="none" w:sz="0" w:space="0" w:color="auto"/>
        <w:left w:val="none" w:sz="0" w:space="0" w:color="auto"/>
        <w:bottom w:val="none" w:sz="0" w:space="0" w:color="auto"/>
        <w:right w:val="none" w:sz="0" w:space="0" w:color="auto"/>
      </w:divBdr>
    </w:div>
    <w:div w:id="1296062915">
      <w:bodyDiv w:val="1"/>
      <w:marLeft w:val="0"/>
      <w:marRight w:val="0"/>
      <w:marTop w:val="0"/>
      <w:marBottom w:val="0"/>
      <w:divBdr>
        <w:top w:val="none" w:sz="0" w:space="0" w:color="auto"/>
        <w:left w:val="none" w:sz="0" w:space="0" w:color="auto"/>
        <w:bottom w:val="none" w:sz="0" w:space="0" w:color="auto"/>
        <w:right w:val="none" w:sz="0" w:space="0" w:color="auto"/>
      </w:divBdr>
      <w:divsChild>
        <w:div w:id="1487824605">
          <w:marLeft w:val="0"/>
          <w:marRight w:val="0"/>
          <w:marTop w:val="0"/>
          <w:marBottom w:val="0"/>
          <w:divBdr>
            <w:top w:val="none" w:sz="0" w:space="0" w:color="auto"/>
            <w:left w:val="none" w:sz="0" w:space="0" w:color="auto"/>
            <w:bottom w:val="none" w:sz="0" w:space="0" w:color="auto"/>
            <w:right w:val="none" w:sz="0" w:space="0" w:color="auto"/>
          </w:divBdr>
          <w:divsChild>
            <w:div w:id="1262371363">
              <w:marLeft w:val="0"/>
              <w:marRight w:val="0"/>
              <w:marTop w:val="0"/>
              <w:marBottom w:val="0"/>
              <w:divBdr>
                <w:top w:val="single" w:sz="2" w:space="0" w:color="BBBBBB"/>
                <w:left w:val="single" w:sz="2" w:space="0" w:color="BBBBBB"/>
                <w:bottom w:val="single" w:sz="2" w:space="0" w:color="666666"/>
                <w:right w:val="single" w:sz="2" w:space="0" w:color="BBBBBB"/>
              </w:divBdr>
              <w:divsChild>
                <w:div w:id="560942881">
                  <w:marLeft w:val="0"/>
                  <w:marRight w:val="0"/>
                  <w:marTop w:val="0"/>
                  <w:marBottom w:val="0"/>
                  <w:divBdr>
                    <w:top w:val="none" w:sz="0" w:space="0" w:color="auto"/>
                    <w:left w:val="none" w:sz="0" w:space="0" w:color="auto"/>
                    <w:bottom w:val="none" w:sz="0" w:space="0" w:color="auto"/>
                    <w:right w:val="none" w:sz="0" w:space="0" w:color="auto"/>
                  </w:divBdr>
                  <w:divsChild>
                    <w:div w:id="1157189962">
                      <w:marLeft w:val="60"/>
                      <w:marRight w:val="0"/>
                      <w:marTop w:val="0"/>
                      <w:marBottom w:val="0"/>
                      <w:divBdr>
                        <w:top w:val="none" w:sz="0" w:space="0" w:color="auto"/>
                        <w:left w:val="none" w:sz="0" w:space="0" w:color="auto"/>
                        <w:bottom w:val="none" w:sz="0" w:space="0" w:color="auto"/>
                        <w:right w:val="none" w:sz="0" w:space="0" w:color="auto"/>
                      </w:divBdr>
                      <w:divsChild>
                        <w:div w:id="2087531405">
                          <w:marLeft w:val="0"/>
                          <w:marRight w:val="0"/>
                          <w:marTop w:val="0"/>
                          <w:marBottom w:val="120"/>
                          <w:divBdr>
                            <w:top w:val="none" w:sz="0" w:space="0" w:color="auto"/>
                            <w:left w:val="none" w:sz="0" w:space="0" w:color="auto"/>
                            <w:bottom w:val="none" w:sz="0" w:space="0" w:color="auto"/>
                            <w:right w:val="none" w:sz="0" w:space="0" w:color="auto"/>
                          </w:divBdr>
                          <w:divsChild>
                            <w:div w:id="39327635">
                              <w:marLeft w:val="0"/>
                              <w:marRight w:val="0"/>
                              <w:marTop w:val="0"/>
                              <w:marBottom w:val="0"/>
                              <w:divBdr>
                                <w:top w:val="none" w:sz="0" w:space="0" w:color="auto"/>
                                <w:left w:val="none" w:sz="0" w:space="0" w:color="auto"/>
                                <w:bottom w:val="none" w:sz="0" w:space="0" w:color="auto"/>
                                <w:right w:val="none" w:sz="0" w:space="0" w:color="auto"/>
                              </w:divBdr>
                              <w:divsChild>
                                <w:div w:id="944000592">
                                  <w:marLeft w:val="0"/>
                                  <w:marRight w:val="0"/>
                                  <w:marTop w:val="0"/>
                                  <w:marBottom w:val="0"/>
                                  <w:divBdr>
                                    <w:top w:val="none" w:sz="0" w:space="0" w:color="auto"/>
                                    <w:left w:val="none" w:sz="0" w:space="0" w:color="auto"/>
                                    <w:bottom w:val="none" w:sz="0" w:space="0" w:color="auto"/>
                                    <w:right w:val="none" w:sz="0" w:space="0" w:color="auto"/>
                                  </w:divBdr>
                                  <w:divsChild>
                                    <w:div w:id="106002935">
                                      <w:marLeft w:val="0"/>
                                      <w:marRight w:val="0"/>
                                      <w:marTop w:val="0"/>
                                      <w:marBottom w:val="0"/>
                                      <w:divBdr>
                                        <w:top w:val="none" w:sz="0" w:space="0" w:color="auto"/>
                                        <w:left w:val="none" w:sz="0" w:space="0" w:color="auto"/>
                                        <w:bottom w:val="none" w:sz="0" w:space="0" w:color="auto"/>
                                        <w:right w:val="none" w:sz="0" w:space="0" w:color="auto"/>
                                      </w:divBdr>
                                      <w:divsChild>
                                        <w:div w:id="101036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7785192">
      <w:bodyDiv w:val="1"/>
      <w:marLeft w:val="0"/>
      <w:marRight w:val="0"/>
      <w:marTop w:val="0"/>
      <w:marBottom w:val="0"/>
      <w:divBdr>
        <w:top w:val="none" w:sz="0" w:space="0" w:color="auto"/>
        <w:left w:val="none" w:sz="0" w:space="0" w:color="auto"/>
        <w:bottom w:val="none" w:sz="0" w:space="0" w:color="auto"/>
        <w:right w:val="none" w:sz="0" w:space="0" w:color="auto"/>
      </w:divBdr>
      <w:divsChild>
        <w:div w:id="1662387783">
          <w:marLeft w:val="0"/>
          <w:marRight w:val="0"/>
          <w:marTop w:val="0"/>
          <w:marBottom w:val="0"/>
          <w:divBdr>
            <w:top w:val="none" w:sz="0" w:space="0" w:color="auto"/>
            <w:left w:val="none" w:sz="0" w:space="0" w:color="auto"/>
            <w:bottom w:val="none" w:sz="0" w:space="0" w:color="auto"/>
            <w:right w:val="none" w:sz="0" w:space="0" w:color="auto"/>
          </w:divBdr>
          <w:divsChild>
            <w:div w:id="102383056">
              <w:marLeft w:val="0"/>
              <w:marRight w:val="0"/>
              <w:marTop w:val="0"/>
              <w:marBottom w:val="0"/>
              <w:divBdr>
                <w:top w:val="single" w:sz="2" w:space="0" w:color="BBBBBB"/>
                <w:left w:val="single" w:sz="2" w:space="0" w:color="BBBBBB"/>
                <w:bottom w:val="single" w:sz="2" w:space="0" w:color="666666"/>
                <w:right w:val="single" w:sz="2" w:space="0" w:color="BBBBBB"/>
              </w:divBdr>
              <w:divsChild>
                <w:div w:id="1058895567">
                  <w:marLeft w:val="0"/>
                  <w:marRight w:val="0"/>
                  <w:marTop w:val="0"/>
                  <w:marBottom w:val="0"/>
                  <w:divBdr>
                    <w:top w:val="none" w:sz="0" w:space="0" w:color="auto"/>
                    <w:left w:val="none" w:sz="0" w:space="0" w:color="auto"/>
                    <w:bottom w:val="none" w:sz="0" w:space="0" w:color="auto"/>
                    <w:right w:val="none" w:sz="0" w:space="0" w:color="auto"/>
                  </w:divBdr>
                  <w:divsChild>
                    <w:div w:id="1376733554">
                      <w:marLeft w:val="60"/>
                      <w:marRight w:val="0"/>
                      <w:marTop w:val="0"/>
                      <w:marBottom w:val="0"/>
                      <w:divBdr>
                        <w:top w:val="none" w:sz="0" w:space="0" w:color="auto"/>
                        <w:left w:val="none" w:sz="0" w:space="0" w:color="auto"/>
                        <w:bottom w:val="none" w:sz="0" w:space="0" w:color="auto"/>
                        <w:right w:val="none" w:sz="0" w:space="0" w:color="auto"/>
                      </w:divBdr>
                      <w:divsChild>
                        <w:div w:id="2101173166">
                          <w:marLeft w:val="0"/>
                          <w:marRight w:val="0"/>
                          <w:marTop w:val="0"/>
                          <w:marBottom w:val="120"/>
                          <w:divBdr>
                            <w:top w:val="none" w:sz="0" w:space="0" w:color="auto"/>
                            <w:left w:val="none" w:sz="0" w:space="0" w:color="auto"/>
                            <w:bottom w:val="none" w:sz="0" w:space="0" w:color="auto"/>
                            <w:right w:val="none" w:sz="0" w:space="0" w:color="auto"/>
                          </w:divBdr>
                          <w:divsChild>
                            <w:div w:id="811410137">
                              <w:marLeft w:val="0"/>
                              <w:marRight w:val="0"/>
                              <w:marTop w:val="0"/>
                              <w:marBottom w:val="0"/>
                              <w:divBdr>
                                <w:top w:val="none" w:sz="0" w:space="0" w:color="auto"/>
                                <w:left w:val="none" w:sz="0" w:space="0" w:color="auto"/>
                                <w:bottom w:val="none" w:sz="0" w:space="0" w:color="auto"/>
                                <w:right w:val="none" w:sz="0" w:space="0" w:color="auto"/>
                              </w:divBdr>
                              <w:divsChild>
                                <w:div w:id="1315987380">
                                  <w:marLeft w:val="0"/>
                                  <w:marRight w:val="0"/>
                                  <w:marTop w:val="0"/>
                                  <w:marBottom w:val="0"/>
                                  <w:divBdr>
                                    <w:top w:val="none" w:sz="0" w:space="0" w:color="auto"/>
                                    <w:left w:val="none" w:sz="0" w:space="0" w:color="auto"/>
                                    <w:bottom w:val="none" w:sz="0" w:space="0" w:color="auto"/>
                                    <w:right w:val="none" w:sz="0" w:space="0" w:color="auto"/>
                                  </w:divBdr>
                                  <w:divsChild>
                                    <w:div w:id="1158576112">
                                      <w:marLeft w:val="0"/>
                                      <w:marRight w:val="0"/>
                                      <w:marTop w:val="0"/>
                                      <w:marBottom w:val="0"/>
                                      <w:divBdr>
                                        <w:top w:val="none" w:sz="0" w:space="0" w:color="auto"/>
                                        <w:left w:val="none" w:sz="0" w:space="0" w:color="auto"/>
                                        <w:bottom w:val="none" w:sz="0" w:space="0" w:color="auto"/>
                                        <w:right w:val="none" w:sz="0" w:space="0" w:color="auto"/>
                                      </w:divBdr>
                                      <w:divsChild>
                                        <w:div w:id="70937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398370">
      <w:bodyDiv w:val="1"/>
      <w:marLeft w:val="0"/>
      <w:marRight w:val="0"/>
      <w:marTop w:val="0"/>
      <w:marBottom w:val="0"/>
      <w:divBdr>
        <w:top w:val="none" w:sz="0" w:space="0" w:color="auto"/>
        <w:left w:val="none" w:sz="0" w:space="0" w:color="auto"/>
        <w:bottom w:val="none" w:sz="0" w:space="0" w:color="auto"/>
        <w:right w:val="none" w:sz="0" w:space="0" w:color="auto"/>
      </w:divBdr>
    </w:div>
    <w:div w:id="1318612659">
      <w:bodyDiv w:val="1"/>
      <w:marLeft w:val="0"/>
      <w:marRight w:val="0"/>
      <w:marTop w:val="0"/>
      <w:marBottom w:val="0"/>
      <w:divBdr>
        <w:top w:val="none" w:sz="0" w:space="0" w:color="auto"/>
        <w:left w:val="none" w:sz="0" w:space="0" w:color="auto"/>
        <w:bottom w:val="none" w:sz="0" w:space="0" w:color="auto"/>
        <w:right w:val="none" w:sz="0" w:space="0" w:color="auto"/>
      </w:divBdr>
    </w:div>
    <w:div w:id="1355810788">
      <w:bodyDiv w:val="1"/>
      <w:marLeft w:val="0"/>
      <w:marRight w:val="0"/>
      <w:marTop w:val="0"/>
      <w:marBottom w:val="0"/>
      <w:divBdr>
        <w:top w:val="none" w:sz="0" w:space="0" w:color="auto"/>
        <w:left w:val="none" w:sz="0" w:space="0" w:color="auto"/>
        <w:bottom w:val="none" w:sz="0" w:space="0" w:color="auto"/>
        <w:right w:val="none" w:sz="0" w:space="0" w:color="auto"/>
      </w:divBdr>
    </w:div>
    <w:div w:id="1359314293">
      <w:bodyDiv w:val="1"/>
      <w:marLeft w:val="0"/>
      <w:marRight w:val="0"/>
      <w:marTop w:val="0"/>
      <w:marBottom w:val="0"/>
      <w:divBdr>
        <w:top w:val="none" w:sz="0" w:space="0" w:color="auto"/>
        <w:left w:val="none" w:sz="0" w:space="0" w:color="auto"/>
        <w:bottom w:val="none" w:sz="0" w:space="0" w:color="auto"/>
        <w:right w:val="none" w:sz="0" w:space="0" w:color="auto"/>
      </w:divBdr>
      <w:divsChild>
        <w:div w:id="785195803">
          <w:marLeft w:val="0"/>
          <w:marRight w:val="0"/>
          <w:marTop w:val="100"/>
          <w:marBottom w:val="100"/>
          <w:divBdr>
            <w:top w:val="none" w:sz="0" w:space="0" w:color="auto"/>
            <w:left w:val="none" w:sz="0" w:space="0" w:color="auto"/>
            <w:bottom w:val="none" w:sz="0" w:space="0" w:color="auto"/>
            <w:right w:val="none" w:sz="0" w:space="0" w:color="auto"/>
          </w:divBdr>
          <w:divsChild>
            <w:div w:id="716589603">
              <w:marLeft w:val="0"/>
              <w:marRight w:val="0"/>
              <w:marTop w:val="100"/>
              <w:marBottom w:val="100"/>
              <w:divBdr>
                <w:top w:val="none" w:sz="0" w:space="0" w:color="auto"/>
                <w:left w:val="none" w:sz="0" w:space="0" w:color="auto"/>
                <w:bottom w:val="none" w:sz="0" w:space="0" w:color="auto"/>
                <w:right w:val="none" w:sz="0" w:space="0" w:color="auto"/>
              </w:divBdr>
              <w:divsChild>
                <w:div w:id="1933077289">
                  <w:marLeft w:val="0"/>
                  <w:marRight w:val="0"/>
                  <w:marTop w:val="0"/>
                  <w:marBottom w:val="0"/>
                  <w:divBdr>
                    <w:top w:val="none" w:sz="0" w:space="0" w:color="auto"/>
                    <w:left w:val="none" w:sz="0" w:space="0" w:color="auto"/>
                    <w:bottom w:val="none" w:sz="0" w:space="0" w:color="auto"/>
                    <w:right w:val="none" w:sz="0" w:space="0" w:color="auto"/>
                  </w:divBdr>
                  <w:divsChild>
                    <w:div w:id="1019550284">
                      <w:marLeft w:val="0"/>
                      <w:marRight w:val="0"/>
                      <w:marTop w:val="225"/>
                      <w:marBottom w:val="225"/>
                      <w:divBdr>
                        <w:top w:val="none" w:sz="0" w:space="0" w:color="auto"/>
                        <w:left w:val="none" w:sz="0" w:space="0" w:color="auto"/>
                        <w:bottom w:val="none" w:sz="0" w:space="0" w:color="auto"/>
                        <w:right w:val="none" w:sz="0" w:space="0" w:color="auto"/>
                      </w:divBdr>
                      <w:divsChild>
                        <w:div w:id="1578326427">
                          <w:marLeft w:val="0"/>
                          <w:marRight w:val="0"/>
                          <w:marTop w:val="225"/>
                          <w:marBottom w:val="225"/>
                          <w:divBdr>
                            <w:top w:val="none" w:sz="0" w:space="0" w:color="auto"/>
                            <w:left w:val="none" w:sz="0" w:space="0" w:color="auto"/>
                            <w:bottom w:val="none" w:sz="0" w:space="0" w:color="auto"/>
                            <w:right w:val="none" w:sz="0" w:space="0" w:color="auto"/>
                          </w:divBdr>
                          <w:divsChild>
                            <w:div w:id="16383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900228">
      <w:bodyDiv w:val="1"/>
      <w:marLeft w:val="0"/>
      <w:marRight w:val="0"/>
      <w:marTop w:val="0"/>
      <w:marBottom w:val="0"/>
      <w:divBdr>
        <w:top w:val="none" w:sz="0" w:space="0" w:color="auto"/>
        <w:left w:val="none" w:sz="0" w:space="0" w:color="auto"/>
        <w:bottom w:val="none" w:sz="0" w:space="0" w:color="auto"/>
        <w:right w:val="none" w:sz="0" w:space="0" w:color="auto"/>
      </w:divBdr>
    </w:div>
    <w:div w:id="1409575606">
      <w:bodyDiv w:val="1"/>
      <w:marLeft w:val="0"/>
      <w:marRight w:val="0"/>
      <w:marTop w:val="0"/>
      <w:marBottom w:val="0"/>
      <w:divBdr>
        <w:top w:val="none" w:sz="0" w:space="0" w:color="auto"/>
        <w:left w:val="none" w:sz="0" w:space="0" w:color="auto"/>
        <w:bottom w:val="none" w:sz="0" w:space="0" w:color="auto"/>
        <w:right w:val="none" w:sz="0" w:space="0" w:color="auto"/>
      </w:divBdr>
    </w:div>
    <w:div w:id="1504201703">
      <w:bodyDiv w:val="1"/>
      <w:marLeft w:val="0"/>
      <w:marRight w:val="0"/>
      <w:marTop w:val="0"/>
      <w:marBottom w:val="0"/>
      <w:divBdr>
        <w:top w:val="none" w:sz="0" w:space="0" w:color="auto"/>
        <w:left w:val="none" w:sz="0" w:space="0" w:color="auto"/>
        <w:bottom w:val="none" w:sz="0" w:space="0" w:color="auto"/>
        <w:right w:val="none" w:sz="0" w:space="0" w:color="auto"/>
      </w:divBdr>
      <w:divsChild>
        <w:div w:id="1253246278">
          <w:marLeft w:val="0"/>
          <w:marRight w:val="0"/>
          <w:marTop w:val="0"/>
          <w:marBottom w:val="0"/>
          <w:divBdr>
            <w:top w:val="none" w:sz="0" w:space="0" w:color="auto"/>
            <w:left w:val="none" w:sz="0" w:space="0" w:color="auto"/>
            <w:bottom w:val="none" w:sz="0" w:space="0" w:color="auto"/>
            <w:right w:val="none" w:sz="0" w:space="0" w:color="auto"/>
          </w:divBdr>
          <w:divsChild>
            <w:div w:id="171338718">
              <w:marLeft w:val="0"/>
              <w:marRight w:val="0"/>
              <w:marTop w:val="0"/>
              <w:marBottom w:val="0"/>
              <w:divBdr>
                <w:top w:val="single" w:sz="2" w:space="0" w:color="BBBBBB"/>
                <w:left w:val="single" w:sz="2" w:space="0" w:color="BBBBBB"/>
                <w:bottom w:val="single" w:sz="2" w:space="0" w:color="666666"/>
                <w:right w:val="single" w:sz="2" w:space="0" w:color="BBBBBB"/>
              </w:divBdr>
              <w:divsChild>
                <w:div w:id="843472699">
                  <w:marLeft w:val="0"/>
                  <w:marRight w:val="0"/>
                  <w:marTop w:val="0"/>
                  <w:marBottom w:val="0"/>
                  <w:divBdr>
                    <w:top w:val="none" w:sz="0" w:space="0" w:color="auto"/>
                    <w:left w:val="none" w:sz="0" w:space="0" w:color="auto"/>
                    <w:bottom w:val="none" w:sz="0" w:space="0" w:color="auto"/>
                    <w:right w:val="none" w:sz="0" w:space="0" w:color="auto"/>
                  </w:divBdr>
                  <w:divsChild>
                    <w:div w:id="452023637">
                      <w:marLeft w:val="60"/>
                      <w:marRight w:val="0"/>
                      <w:marTop w:val="0"/>
                      <w:marBottom w:val="0"/>
                      <w:divBdr>
                        <w:top w:val="none" w:sz="0" w:space="0" w:color="auto"/>
                        <w:left w:val="none" w:sz="0" w:space="0" w:color="auto"/>
                        <w:bottom w:val="none" w:sz="0" w:space="0" w:color="auto"/>
                        <w:right w:val="none" w:sz="0" w:space="0" w:color="auto"/>
                      </w:divBdr>
                      <w:divsChild>
                        <w:div w:id="265311642">
                          <w:marLeft w:val="0"/>
                          <w:marRight w:val="0"/>
                          <w:marTop w:val="0"/>
                          <w:marBottom w:val="120"/>
                          <w:divBdr>
                            <w:top w:val="none" w:sz="0" w:space="0" w:color="auto"/>
                            <w:left w:val="none" w:sz="0" w:space="0" w:color="auto"/>
                            <w:bottom w:val="none" w:sz="0" w:space="0" w:color="auto"/>
                            <w:right w:val="none" w:sz="0" w:space="0" w:color="auto"/>
                          </w:divBdr>
                          <w:divsChild>
                            <w:div w:id="1241866844">
                              <w:marLeft w:val="0"/>
                              <w:marRight w:val="0"/>
                              <w:marTop w:val="0"/>
                              <w:marBottom w:val="0"/>
                              <w:divBdr>
                                <w:top w:val="none" w:sz="0" w:space="0" w:color="auto"/>
                                <w:left w:val="none" w:sz="0" w:space="0" w:color="auto"/>
                                <w:bottom w:val="none" w:sz="0" w:space="0" w:color="auto"/>
                                <w:right w:val="none" w:sz="0" w:space="0" w:color="auto"/>
                              </w:divBdr>
                              <w:divsChild>
                                <w:div w:id="1466243176">
                                  <w:marLeft w:val="0"/>
                                  <w:marRight w:val="0"/>
                                  <w:marTop w:val="0"/>
                                  <w:marBottom w:val="0"/>
                                  <w:divBdr>
                                    <w:top w:val="none" w:sz="0" w:space="0" w:color="auto"/>
                                    <w:left w:val="none" w:sz="0" w:space="0" w:color="auto"/>
                                    <w:bottom w:val="none" w:sz="0" w:space="0" w:color="auto"/>
                                    <w:right w:val="none" w:sz="0" w:space="0" w:color="auto"/>
                                  </w:divBdr>
                                  <w:divsChild>
                                    <w:div w:id="714162500">
                                      <w:marLeft w:val="0"/>
                                      <w:marRight w:val="0"/>
                                      <w:marTop w:val="0"/>
                                      <w:marBottom w:val="0"/>
                                      <w:divBdr>
                                        <w:top w:val="none" w:sz="0" w:space="0" w:color="auto"/>
                                        <w:left w:val="none" w:sz="0" w:space="0" w:color="auto"/>
                                        <w:bottom w:val="none" w:sz="0" w:space="0" w:color="auto"/>
                                        <w:right w:val="none" w:sz="0" w:space="0" w:color="auto"/>
                                      </w:divBdr>
                                      <w:divsChild>
                                        <w:div w:id="88614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7400192">
      <w:bodyDiv w:val="1"/>
      <w:marLeft w:val="0"/>
      <w:marRight w:val="0"/>
      <w:marTop w:val="0"/>
      <w:marBottom w:val="0"/>
      <w:divBdr>
        <w:top w:val="none" w:sz="0" w:space="0" w:color="auto"/>
        <w:left w:val="none" w:sz="0" w:space="0" w:color="auto"/>
        <w:bottom w:val="none" w:sz="0" w:space="0" w:color="auto"/>
        <w:right w:val="none" w:sz="0" w:space="0" w:color="auto"/>
      </w:divBdr>
      <w:divsChild>
        <w:div w:id="831413927">
          <w:marLeft w:val="0"/>
          <w:marRight w:val="0"/>
          <w:marTop w:val="0"/>
          <w:marBottom w:val="0"/>
          <w:divBdr>
            <w:top w:val="none" w:sz="0" w:space="0" w:color="auto"/>
            <w:left w:val="none" w:sz="0" w:space="0" w:color="auto"/>
            <w:bottom w:val="none" w:sz="0" w:space="0" w:color="auto"/>
            <w:right w:val="none" w:sz="0" w:space="0" w:color="auto"/>
          </w:divBdr>
          <w:divsChild>
            <w:div w:id="849291478">
              <w:marLeft w:val="0"/>
              <w:marRight w:val="0"/>
              <w:marTop w:val="150"/>
              <w:marBottom w:val="0"/>
              <w:divBdr>
                <w:top w:val="none" w:sz="0" w:space="0" w:color="auto"/>
                <w:left w:val="none" w:sz="0" w:space="0" w:color="auto"/>
                <w:bottom w:val="none" w:sz="0" w:space="0" w:color="auto"/>
                <w:right w:val="none" w:sz="0" w:space="0" w:color="auto"/>
              </w:divBdr>
              <w:divsChild>
                <w:div w:id="597717158">
                  <w:marLeft w:val="0"/>
                  <w:marRight w:val="0"/>
                  <w:marTop w:val="0"/>
                  <w:marBottom w:val="0"/>
                  <w:divBdr>
                    <w:top w:val="none" w:sz="0" w:space="0" w:color="auto"/>
                    <w:left w:val="none" w:sz="0" w:space="0" w:color="auto"/>
                    <w:bottom w:val="none" w:sz="0" w:space="0" w:color="auto"/>
                    <w:right w:val="none" w:sz="0" w:space="0" w:color="auto"/>
                  </w:divBdr>
                  <w:divsChild>
                    <w:div w:id="764112921">
                      <w:marLeft w:val="0"/>
                      <w:marRight w:val="0"/>
                      <w:marTop w:val="0"/>
                      <w:marBottom w:val="75"/>
                      <w:divBdr>
                        <w:top w:val="none" w:sz="0" w:space="0" w:color="auto"/>
                        <w:left w:val="none" w:sz="0" w:space="0" w:color="auto"/>
                        <w:bottom w:val="none" w:sz="0" w:space="0" w:color="auto"/>
                        <w:right w:val="none" w:sz="0" w:space="0" w:color="auto"/>
                      </w:divBdr>
                      <w:divsChild>
                        <w:div w:id="13120253">
                          <w:marLeft w:val="0"/>
                          <w:marRight w:val="0"/>
                          <w:marTop w:val="0"/>
                          <w:marBottom w:val="0"/>
                          <w:divBdr>
                            <w:top w:val="none" w:sz="0" w:space="0" w:color="auto"/>
                            <w:left w:val="none" w:sz="0" w:space="0" w:color="auto"/>
                            <w:bottom w:val="none" w:sz="0" w:space="0" w:color="auto"/>
                            <w:right w:val="none" w:sz="0" w:space="0" w:color="auto"/>
                          </w:divBdr>
                          <w:divsChild>
                            <w:div w:id="1159536642">
                              <w:marLeft w:val="0"/>
                              <w:marRight w:val="0"/>
                              <w:marTop w:val="0"/>
                              <w:marBottom w:val="0"/>
                              <w:divBdr>
                                <w:top w:val="none" w:sz="0" w:space="0" w:color="auto"/>
                                <w:left w:val="none" w:sz="0" w:space="0" w:color="auto"/>
                                <w:bottom w:val="none" w:sz="0" w:space="0" w:color="auto"/>
                                <w:right w:val="none" w:sz="0" w:space="0" w:color="auto"/>
                              </w:divBdr>
                              <w:divsChild>
                                <w:div w:id="1165321582">
                                  <w:marLeft w:val="0"/>
                                  <w:marRight w:val="0"/>
                                  <w:marTop w:val="0"/>
                                  <w:marBottom w:val="0"/>
                                  <w:divBdr>
                                    <w:top w:val="none" w:sz="0" w:space="0" w:color="auto"/>
                                    <w:left w:val="none" w:sz="0" w:space="0" w:color="auto"/>
                                    <w:bottom w:val="none" w:sz="0" w:space="0" w:color="auto"/>
                                    <w:right w:val="none" w:sz="0" w:space="0" w:color="auto"/>
                                  </w:divBdr>
                                  <w:divsChild>
                                    <w:div w:id="1582832984">
                                      <w:marLeft w:val="0"/>
                                      <w:marRight w:val="0"/>
                                      <w:marTop w:val="0"/>
                                      <w:marBottom w:val="0"/>
                                      <w:divBdr>
                                        <w:top w:val="none" w:sz="0" w:space="0" w:color="auto"/>
                                        <w:left w:val="none" w:sz="0" w:space="0" w:color="auto"/>
                                        <w:bottom w:val="none" w:sz="0" w:space="0" w:color="auto"/>
                                        <w:right w:val="none" w:sz="0" w:space="0" w:color="auto"/>
                                      </w:divBdr>
                                      <w:divsChild>
                                        <w:div w:id="1244293136">
                                          <w:marLeft w:val="0"/>
                                          <w:marRight w:val="75"/>
                                          <w:marTop w:val="0"/>
                                          <w:marBottom w:val="0"/>
                                          <w:divBdr>
                                            <w:top w:val="none" w:sz="0" w:space="0" w:color="auto"/>
                                            <w:left w:val="none" w:sz="0" w:space="0" w:color="auto"/>
                                            <w:bottom w:val="none" w:sz="0" w:space="0" w:color="auto"/>
                                            <w:right w:val="none" w:sz="0" w:space="0" w:color="auto"/>
                                          </w:divBdr>
                                          <w:divsChild>
                                            <w:div w:id="58257324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1593204">
      <w:bodyDiv w:val="1"/>
      <w:marLeft w:val="0"/>
      <w:marRight w:val="0"/>
      <w:marTop w:val="0"/>
      <w:marBottom w:val="0"/>
      <w:divBdr>
        <w:top w:val="none" w:sz="0" w:space="0" w:color="auto"/>
        <w:left w:val="none" w:sz="0" w:space="0" w:color="auto"/>
        <w:bottom w:val="none" w:sz="0" w:space="0" w:color="auto"/>
        <w:right w:val="none" w:sz="0" w:space="0" w:color="auto"/>
      </w:divBdr>
      <w:divsChild>
        <w:div w:id="819662388">
          <w:marLeft w:val="0"/>
          <w:marRight w:val="0"/>
          <w:marTop w:val="0"/>
          <w:marBottom w:val="0"/>
          <w:divBdr>
            <w:top w:val="none" w:sz="0" w:space="0" w:color="auto"/>
            <w:left w:val="none" w:sz="0" w:space="0" w:color="auto"/>
            <w:bottom w:val="none" w:sz="0" w:space="0" w:color="auto"/>
            <w:right w:val="none" w:sz="0" w:space="0" w:color="auto"/>
          </w:divBdr>
          <w:divsChild>
            <w:div w:id="914557450">
              <w:marLeft w:val="0"/>
              <w:marRight w:val="0"/>
              <w:marTop w:val="0"/>
              <w:marBottom w:val="0"/>
              <w:divBdr>
                <w:top w:val="single" w:sz="2" w:space="0" w:color="BBBBBB"/>
                <w:left w:val="single" w:sz="2" w:space="0" w:color="BBBBBB"/>
                <w:bottom w:val="single" w:sz="2" w:space="0" w:color="666666"/>
                <w:right w:val="single" w:sz="2" w:space="0" w:color="BBBBBB"/>
              </w:divBdr>
              <w:divsChild>
                <w:div w:id="1602377672">
                  <w:marLeft w:val="0"/>
                  <w:marRight w:val="0"/>
                  <w:marTop w:val="0"/>
                  <w:marBottom w:val="0"/>
                  <w:divBdr>
                    <w:top w:val="none" w:sz="0" w:space="0" w:color="auto"/>
                    <w:left w:val="none" w:sz="0" w:space="0" w:color="auto"/>
                    <w:bottom w:val="none" w:sz="0" w:space="0" w:color="auto"/>
                    <w:right w:val="none" w:sz="0" w:space="0" w:color="auto"/>
                  </w:divBdr>
                  <w:divsChild>
                    <w:div w:id="1423993492">
                      <w:marLeft w:val="60"/>
                      <w:marRight w:val="0"/>
                      <w:marTop w:val="0"/>
                      <w:marBottom w:val="0"/>
                      <w:divBdr>
                        <w:top w:val="none" w:sz="0" w:space="0" w:color="auto"/>
                        <w:left w:val="none" w:sz="0" w:space="0" w:color="auto"/>
                        <w:bottom w:val="none" w:sz="0" w:space="0" w:color="auto"/>
                        <w:right w:val="none" w:sz="0" w:space="0" w:color="auto"/>
                      </w:divBdr>
                      <w:divsChild>
                        <w:div w:id="552272511">
                          <w:marLeft w:val="0"/>
                          <w:marRight w:val="0"/>
                          <w:marTop w:val="0"/>
                          <w:marBottom w:val="120"/>
                          <w:divBdr>
                            <w:top w:val="none" w:sz="0" w:space="0" w:color="auto"/>
                            <w:left w:val="none" w:sz="0" w:space="0" w:color="auto"/>
                            <w:bottom w:val="none" w:sz="0" w:space="0" w:color="auto"/>
                            <w:right w:val="none" w:sz="0" w:space="0" w:color="auto"/>
                          </w:divBdr>
                          <w:divsChild>
                            <w:div w:id="1042706974">
                              <w:marLeft w:val="0"/>
                              <w:marRight w:val="0"/>
                              <w:marTop w:val="0"/>
                              <w:marBottom w:val="0"/>
                              <w:divBdr>
                                <w:top w:val="none" w:sz="0" w:space="0" w:color="auto"/>
                                <w:left w:val="none" w:sz="0" w:space="0" w:color="auto"/>
                                <w:bottom w:val="none" w:sz="0" w:space="0" w:color="auto"/>
                                <w:right w:val="none" w:sz="0" w:space="0" w:color="auto"/>
                              </w:divBdr>
                              <w:divsChild>
                                <w:div w:id="1067922060">
                                  <w:marLeft w:val="0"/>
                                  <w:marRight w:val="0"/>
                                  <w:marTop w:val="0"/>
                                  <w:marBottom w:val="0"/>
                                  <w:divBdr>
                                    <w:top w:val="none" w:sz="0" w:space="0" w:color="auto"/>
                                    <w:left w:val="none" w:sz="0" w:space="0" w:color="auto"/>
                                    <w:bottom w:val="none" w:sz="0" w:space="0" w:color="auto"/>
                                    <w:right w:val="none" w:sz="0" w:space="0" w:color="auto"/>
                                  </w:divBdr>
                                  <w:divsChild>
                                    <w:div w:id="20673786">
                                      <w:marLeft w:val="0"/>
                                      <w:marRight w:val="0"/>
                                      <w:marTop w:val="0"/>
                                      <w:marBottom w:val="0"/>
                                      <w:divBdr>
                                        <w:top w:val="none" w:sz="0" w:space="0" w:color="auto"/>
                                        <w:left w:val="none" w:sz="0" w:space="0" w:color="auto"/>
                                        <w:bottom w:val="none" w:sz="0" w:space="0" w:color="auto"/>
                                        <w:right w:val="none" w:sz="0" w:space="0" w:color="auto"/>
                                      </w:divBdr>
                                      <w:divsChild>
                                        <w:div w:id="43968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0209474">
      <w:bodyDiv w:val="1"/>
      <w:marLeft w:val="0"/>
      <w:marRight w:val="0"/>
      <w:marTop w:val="0"/>
      <w:marBottom w:val="0"/>
      <w:divBdr>
        <w:top w:val="none" w:sz="0" w:space="0" w:color="auto"/>
        <w:left w:val="none" w:sz="0" w:space="0" w:color="auto"/>
        <w:bottom w:val="none" w:sz="0" w:space="0" w:color="auto"/>
        <w:right w:val="none" w:sz="0" w:space="0" w:color="auto"/>
      </w:divBdr>
    </w:div>
    <w:div w:id="1693647167">
      <w:bodyDiv w:val="1"/>
      <w:marLeft w:val="0"/>
      <w:marRight w:val="0"/>
      <w:marTop w:val="0"/>
      <w:marBottom w:val="0"/>
      <w:divBdr>
        <w:top w:val="none" w:sz="0" w:space="0" w:color="auto"/>
        <w:left w:val="none" w:sz="0" w:space="0" w:color="auto"/>
        <w:bottom w:val="none" w:sz="0" w:space="0" w:color="auto"/>
        <w:right w:val="none" w:sz="0" w:space="0" w:color="auto"/>
      </w:divBdr>
      <w:divsChild>
        <w:div w:id="814907066">
          <w:marLeft w:val="0"/>
          <w:marRight w:val="0"/>
          <w:marTop w:val="0"/>
          <w:marBottom w:val="0"/>
          <w:divBdr>
            <w:top w:val="none" w:sz="0" w:space="0" w:color="auto"/>
            <w:left w:val="none" w:sz="0" w:space="0" w:color="auto"/>
            <w:bottom w:val="none" w:sz="0" w:space="0" w:color="auto"/>
            <w:right w:val="none" w:sz="0" w:space="0" w:color="auto"/>
          </w:divBdr>
        </w:div>
        <w:div w:id="1382901084">
          <w:marLeft w:val="0"/>
          <w:marRight w:val="0"/>
          <w:marTop w:val="0"/>
          <w:marBottom w:val="0"/>
          <w:divBdr>
            <w:top w:val="none" w:sz="0" w:space="0" w:color="auto"/>
            <w:left w:val="none" w:sz="0" w:space="0" w:color="auto"/>
            <w:bottom w:val="none" w:sz="0" w:space="0" w:color="auto"/>
            <w:right w:val="none" w:sz="0" w:space="0" w:color="auto"/>
          </w:divBdr>
        </w:div>
        <w:div w:id="1453670574">
          <w:marLeft w:val="0"/>
          <w:marRight w:val="0"/>
          <w:marTop w:val="0"/>
          <w:marBottom w:val="0"/>
          <w:divBdr>
            <w:top w:val="none" w:sz="0" w:space="0" w:color="auto"/>
            <w:left w:val="none" w:sz="0" w:space="0" w:color="auto"/>
            <w:bottom w:val="none" w:sz="0" w:space="0" w:color="auto"/>
            <w:right w:val="none" w:sz="0" w:space="0" w:color="auto"/>
          </w:divBdr>
        </w:div>
        <w:div w:id="1595629383">
          <w:marLeft w:val="0"/>
          <w:marRight w:val="0"/>
          <w:marTop w:val="0"/>
          <w:marBottom w:val="0"/>
          <w:divBdr>
            <w:top w:val="none" w:sz="0" w:space="0" w:color="auto"/>
            <w:left w:val="none" w:sz="0" w:space="0" w:color="auto"/>
            <w:bottom w:val="none" w:sz="0" w:space="0" w:color="auto"/>
            <w:right w:val="none" w:sz="0" w:space="0" w:color="auto"/>
          </w:divBdr>
        </w:div>
      </w:divsChild>
    </w:div>
    <w:div w:id="1777554669">
      <w:bodyDiv w:val="1"/>
      <w:marLeft w:val="0"/>
      <w:marRight w:val="0"/>
      <w:marTop w:val="0"/>
      <w:marBottom w:val="0"/>
      <w:divBdr>
        <w:top w:val="none" w:sz="0" w:space="0" w:color="auto"/>
        <w:left w:val="none" w:sz="0" w:space="0" w:color="auto"/>
        <w:bottom w:val="none" w:sz="0" w:space="0" w:color="auto"/>
        <w:right w:val="none" w:sz="0" w:space="0" w:color="auto"/>
      </w:divBdr>
      <w:divsChild>
        <w:div w:id="1885019351">
          <w:marLeft w:val="0"/>
          <w:marRight w:val="0"/>
          <w:marTop w:val="0"/>
          <w:marBottom w:val="0"/>
          <w:divBdr>
            <w:top w:val="none" w:sz="0" w:space="0" w:color="auto"/>
            <w:left w:val="none" w:sz="0" w:space="0" w:color="auto"/>
            <w:bottom w:val="none" w:sz="0" w:space="0" w:color="auto"/>
            <w:right w:val="none" w:sz="0" w:space="0" w:color="auto"/>
          </w:divBdr>
          <w:divsChild>
            <w:div w:id="1688020814">
              <w:marLeft w:val="0"/>
              <w:marRight w:val="0"/>
              <w:marTop w:val="0"/>
              <w:marBottom w:val="0"/>
              <w:divBdr>
                <w:top w:val="none" w:sz="0" w:space="0" w:color="auto"/>
                <w:left w:val="none" w:sz="0" w:space="0" w:color="auto"/>
                <w:bottom w:val="none" w:sz="0" w:space="0" w:color="auto"/>
                <w:right w:val="none" w:sz="0" w:space="0" w:color="auto"/>
              </w:divBdr>
              <w:divsChild>
                <w:div w:id="1892879613">
                  <w:marLeft w:val="0"/>
                  <w:marRight w:val="0"/>
                  <w:marTop w:val="0"/>
                  <w:marBottom w:val="0"/>
                  <w:divBdr>
                    <w:top w:val="none" w:sz="0" w:space="0" w:color="auto"/>
                    <w:left w:val="none" w:sz="0" w:space="0" w:color="auto"/>
                    <w:bottom w:val="none" w:sz="0" w:space="0" w:color="auto"/>
                    <w:right w:val="none" w:sz="0" w:space="0" w:color="auto"/>
                  </w:divBdr>
                  <w:divsChild>
                    <w:div w:id="338509010">
                      <w:marLeft w:val="0"/>
                      <w:marRight w:val="0"/>
                      <w:marTop w:val="0"/>
                      <w:marBottom w:val="0"/>
                      <w:divBdr>
                        <w:top w:val="none" w:sz="0" w:space="0" w:color="auto"/>
                        <w:left w:val="none" w:sz="0" w:space="0" w:color="auto"/>
                        <w:bottom w:val="none" w:sz="0" w:space="0" w:color="auto"/>
                        <w:right w:val="none" w:sz="0" w:space="0" w:color="auto"/>
                      </w:divBdr>
                      <w:divsChild>
                        <w:div w:id="537814651">
                          <w:marLeft w:val="0"/>
                          <w:marRight w:val="0"/>
                          <w:marTop w:val="0"/>
                          <w:marBottom w:val="0"/>
                          <w:divBdr>
                            <w:top w:val="none" w:sz="0" w:space="0" w:color="auto"/>
                            <w:left w:val="none" w:sz="0" w:space="0" w:color="auto"/>
                            <w:bottom w:val="none" w:sz="0" w:space="0" w:color="auto"/>
                            <w:right w:val="none" w:sz="0" w:space="0" w:color="auto"/>
                          </w:divBdr>
                          <w:divsChild>
                            <w:div w:id="2877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996582">
      <w:bodyDiv w:val="1"/>
      <w:marLeft w:val="0"/>
      <w:marRight w:val="0"/>
      <w:marTop w:val="0"/>
      <w:marBottom w:val="0"/>
      <w:divBdr>
        <w:top w:val="none" w:sz="0" w:space="0" w:color="auto"/>
        <w:left w:val="none" w:sz="0" w:space="0" w:color="auto"/>
        <w:bottom w:val="none" w:sz="0" w:space="0" w:color="auto"/>
        <w:right w:val="none" w:sz="0" w:space="0" w:color="auto"/>
      </w:divBdr>
      <w:divsChild>
        <w:div w:id="381910078">
          <w:marLeft w:val="0"/>
          <w:marRight w:val="0"/>
          <w:marTop w:val="0"/>
          <w:marBottom w:val="0"/>
          <w:divBdr>
            <w:top w:val="none" w:sz="0" w:space="0" w:color="auto"/>
            <w:left w:val="none" w:sz="0" w:space="0" w:color="auto"/>
            <w:bottom w:val="none" w:sz="0" w:space="0" w:color="auto"/>
            <w:right w:val="none" w:sz="0" w:space="0" w:color="auto"/>
          </w:divBdr>
        </w:div>
        <w:div w:id="332488877">
          <w:marLeft w:val="0"/>
          <w:marRight w:val="0"/>
          <w:marTop w:val="0"/>
          <w:marBottom w:val="0"/>
          <w:divBdr>
            <w:top w:val="none" w:sz="0" w:space="0" w:color="auto"/>
            <w:left w:val="none" w:sz="0" w:space="0" w:color="auto"/>
            <w:bottom w:val="none" w:sz="0" w:space="0" w:color="auto"/>
            <w:right w:val="none" w:sz="0" w:space="0" w:color="auto"/>
          </w:divBdr>
        </w:div>
      </w:divsChild>
    </w:div>
    <w:div w:id="1828402025">
      <w:bodyDiv w:val="1"/>
      <w:marLeft w:val="0"/>
      <w:marRight w:val="0"/>
      <w:marTop w:val="0"/>
      <w:marBottom w:val="0"/>
      <w:divBdr>
        <w:top w:val="none" w:sz="0" w:space="0" w:color="auto"/>
        <w:left w:val="none" w:sz="0" w:space="0" w:color="auto"/>
        <w:bottom w:val="none" w:sz="0" w:space="0" w:color="auto"/>
        <w:right w:val="none" w:sz="0" w:space="0" w:color="auto"/>
      </w:divBdr>
    </w:div>
    <w:div w:id="1847331425">
      <w:bodyDiv w:val="1"/>
      <w:marLeft w:val="0"/>
      <w:marRight w:val="0"/>
      <w:marTop w:val="0"/>
      <w:marBottom w:val="0"/>
      <w:divBdr>
        <w:top w:val="none" w:sz="0" w:space="0" w:color="auto"/>
        <w:left w:val="none" w:sz="0" w:space="0" w:color="auto"/>
        <w:bottom w:val="none" w:sz="0" w:space="0" w:color="auto"/>
        <w:right w:val="none" w:sz="0" w:space="0" w:color="auto"/>
      </w:divBdr>
      <w:divsChild>
        <w:div w:id="268438720">
          <w:marLeft w:val="0"/>
          <w:marRight w:val="0"/>
          <w:marTop w:val="0"/>
          <w:marBottom w:val="0"/>
          <w:divBdr>
            <w:top w:val="none" w:sz="0" w:space="0" w:color="auto"/>
            <w:left w:val="none" w:sz="0" w:space="0" w:color="auto"/>
            <w:bottom w:val="none" w:sz="0" w:space="0" w:color="auto"/>
            <w:right w:val="none" w:sz="0" w:space="0" w:color="auto"/>
          </w:divBdr>
        </w:div>
        <w:div w:id="651064721">
          <w:marLeft w:val="0"/>
          <w:marRight w:val="0"/>
          <w:marTop w:val="0"/>
          <w:marBottom w:val="0"/>
          <w:divBdr>
            <w:top w:val="none" w:sz="0" w:space="0" w:color="auto"/>
            <w:left w:val="none" w:sz="0" w:space="0" w:color="auto"/>
            <w:bottom w:val="none" w:sz="0" w:space="0" w:color="auto"/>
            <w:right w:val="none" w:sz="0" w:space="0" w:color="auto"/>
          </w:divBdr>
        </w:div>
        <w:div w:id="747263260">
          <w:marLeft w:val="0"/>
          <w:marRight w:val="0"/>
          <w:marTop w:val="0"/>
          <w:marBottom w:val="0"/>
          <w:divBdr>
            <w:top w:val="none" w:sz="0" w:space="0" w:color="auto"/>
            <w:left w:val="none" w:sz="0" w:space="0" w:color="auto"/>
            <w:bottom w:val="none" w:sz="0" w:space="0" w:color="auto"/>
            <w:right w:val="none" w:sz="0" w:space="0" w:color="auto"/>
          </w:divBdr>
        </w:div>
        <w:div w:id="818770700">
          <w:marLeft w:val="0"/>
          <w:marRight w:val="0"/>
          <w:marTop w:val="0"/>
          <w:marBottom w:val="0"/>
          <w:divBdr>
            <w:top w:val="none" w:sz="0" w:space="0" w:color="auto"/>
            <w:left w:val="none" w:sz="0" w:space="0" w:color="auto"/>
            <w:bottom w:val="none" w:sz="0" w:space="0" w:color="auto"/>
            <w:right w:val="none" w:sz="0" w:space="0" w:color="auto"/>
          </w:divBdr>
        </w:div>
        <w:div w:id="822307568">
          <w:marLeft w:val="0"/>
          <w:marRight w:val="0"/>
          <w:marTop w:val="0"/>
          <w:marBottom w:val="0"/>
          <w:divBdr>
            <w:top w:val="none" w:sz="0" w:space="0" w:color="auto"/>
            <w:left w:val="none" w:sz="0" w:space="0" w:color="auto"/>
            <w:bottom w:val="none" w:sz="0" w:space="0" w:color="auto"/>
            <w:right w:val="none" w:sz="0" w:space="0" w:color="auto"/>
          </w:divBdr>
        </w:div>
        <w:div w:id="1360543284">
          <w:marLeft w:val="0"/>
          <w:marRight w:val="0"/>
          <w:marTop w:val="0"/>
          <w:marBottom w:val="0"/>
          <w:divBdr>
            <w:top w:val="none" w:sz="0" w:space="0" w:color="auto"/>
            <w:left w:val="none" w:sz="0" w:space="0" w:color="auto"/>
            <w:bottom w:val="none" w:sz="0" w:space="0" w:color="auto"/>
            <w:right w:val="none" w:sz="0" w:space="0" w:color="auto"/>
          </w:divBdr>
        </w:div>
        <w:div w:id="1462920749">
          <w:marLeft w:val="0"/>
          <w:marRight w:val="0"/>
          <w:marTop w:val="0"/>
          <w:marBottom w:val="0"/>
          <w:divBdr>
            <w:top w:val="none" w:sz="0" w:space="0" w:color="auto"/>
            <w:left w:val="none" w:sz="0" w:space="0" w:color="auto"/>
            <w:bottom w:val="none" w:sz="0" w:space="0" w:color="auto"/>
            <w:right w:val="none" w:sz="0" w:space="0" w:color="auto"/>
          </w:divBdr>
        </w:div>
        <w:div w:id="1496262056">
          <w:marLeft w:val="0"/>
          <w:marRight w:val="0"/>
          <w:marTop w:val="0"/>
          <w:marBottom w:val="0"/>
          <w:divBdr>
            <w:top w:val="none" w:sz="0" w:space="0" w:color="auto"/>
            <w:left w:val="none" w:sz="0" w:space="0" w:color="auto"/>
            <w:bottom w:val="none" w:sz="0" w:space="0" w:color="auto"/>
            <w:right w:val="none" w:sz="0" w:space="0" w:color="auto"/>
          </w:divBdr>
        </w:div>
        <w:div w:id="1940135073">
          <w:marLeft w:val="0"/>
          <w:marRight w:val="0"/>
          <w:marTop w:val="0"/>
          <w:marBottom w:val="0"/>
          <w:divBdr>
            <w:top w:val="none" w:sz="0" w:space="0" w:color="auto"/>
            <w:left w:val="none" w:sz="0" w:space="0" w:color="auto"/>
            <w:bottom w:val="none" w:sz="0" w:space="0" w:color="auto"/>
            <w:right w:val="none" w:sz="0" w:space="0" w:color="auto"/>
          </w:divBdr>
        </w:div>
        <w:div w:id="1973174168">
          <w:marLeft w:val="0"/>
          <w:marRight w:val="0"/>
          <w:marTop w:val="0"/>
          <w:marBottom w:val="0"/>
          <w:divBdr>
            <w:top w:val="none" w:sz="0" w:space="0" w:color="auto"/>
            <w:left w:val="none" w:sz="0" w:space="0" w:color="auto"/>
            <w:bottom w:val="none" w:sz="0" w:space="0" w:color="auto"/>
            <w:right w:val="none" w:sz="0" w:space="0" w:color="auto"/>
          </w:divBdr>
        </w:div>
      </w:divsChild>
    </w:div>
    <w:div w:id="1864436679">
      <w:bodyDiv w:val="1"/>
      <w:marLeft w:val="0"/>
      <w:marRight w:val="0"/>
      <w:marTop w:val="0"/>
      <w:marBottom w:val="0"/>
      <w:divBdr>
        <w:top w:val="none" w:sz="0" w:space="0" w:color="auto"/>
        <w:left w:val="none" w:sz="0" w:space="0" w:color="auto"/>
        <w:bottom w:val="none" w:sz="0" w:space="0" w:color="auto"/>
        <w:right w:val="none" w:sz="0" w:space="0" w:color="auto"/>
      </w:divBdr>
      <w:divsChild>
        <w:div w:id="47075769">
          <w:marLeft w:val="0"/>
          <w:marRight w:val="0"/>
          <w:marTop w:val="0"/>
          <w:marBottom w:val="0"/>
          <w:divBdr>
            <w:top w:val="none" w:sz="0" w:space="0" w:color="auto"/>
            <w:left w:val="none" w:sz="0" w:space="0" w:color="auto"/>
            <w:bottom w:val="none" w:sz="0" w:space="0" w:color="auto"/>
            <w:right w:val="none" w:sz="0" w:space="0" w:color="auto"/>
          </w:divBdr>
        </w:div>
        <w:div w:id="546264723">
          <w:marLeft w:val="0"/>
          <w:marRight w:val="0"/>
          <w:marTop w:val="0"/>
          <w:marBottom w:val="0"/>
          <w:divBdr>
            <w:top w:val="none" w:sz="0" w:space="0" w:color="auto"/>
            <w:left w:val="none" w:sz="0" w:space="0" w:color="auto"/>
            <w:bottom w:val="none" w:sz="0" w:space="0" w:color="auto"/>
            <w:right w:val="none" w:sz="0" w:space="0" w:color="auto"/>
          </w:divBdr>
        </w:div>
      </w:divsChild>
    </w:div>
    <w:div w:id="1869025608">
      <w:bodyDiv w:val="1"/>
      <w:marLeft w:val="0"/>
      <w:marRight w:val="0"/>
      <w:marTop w:val="0"/>
      <w:marBottom w:val="0"/>
      <w:divBdr>
        <w:top w:val="none" w:sz="0" w:space="0" w:color="auto"/>
        <w:left w:val="none" w:sz="0" w:space="0" w:color="auto"/>
        <w:bottom w:val="none" w:sz="0" w:space="0" w:color="auto"/>
        <w:right w:val="none" w:sz="0" w:space="0" w:color="auto"/>
      </w:divBdr>
      <w:divsChild>
        <w:div w:id="2130279719">
          <w:marLeft w:val="0"/>
          <w:marRight w:val="0"/>
          <w:marTop w:val="0"/>
          <w:marBottom w:val="0"/>
          <w:divBdr>
            <w:top w:val="none" w:sz="0" w:space="0" w:color="auto"/>
            <w:left w:val="none" w:sz="0" w:space="0" w:color="auto"/>
            <w:bottom w:val="none" w:sz="0" w:space="0" w:color="auto"/>
            <w:right w:val="none" w:sz="0" w:space="0" w:color="auto"/>
          </w:divBdr>
          <w:divsChild>
            <w:div w:id="413936713">
              <w:marLeft w:val="0"/>
              <w:marRight w:val="0"/>
              <w:marTop w:val="0"/>
              <w:marBottom w:val="0"/>
              <w:divBdr>
                <w:top w:val="none" w:sz="0" w:space="0" w:color="auto"/>
                <w:left w:val="none" w:sz="0" w:space="0" w:color="auto"/>
                <w:bottom w:val="none" w:sz="0" w:space="0" w:color="auto"/>
                <w:right w:val="none" w:sz="0" w:space="0" w:color="auto"/>
              </w:divBdr>
              <w:divsChild>
                <w:div w:id="133838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12641">
      <w:bodyDiv w:val="1"/>
      <w:marLeft w:val="0"/>
      <w:marRight w:val="0"/>
      <w:marTop w:val="0"/>
      <w:marBottom w:val="0"/>
      <w:divBdr>
        <w:top w:val="none" w:sz="0" w:space="0" w:color="auto"/>
        <w:left w:val="none" w:sz="0" w:space="0" w:color="auto"/>
        <w:bottom w:val="none" w:sz="0" w:space="0" w:color="auto"/>
        <w:right w:val="none" w:sz="0" w:space="0" w:color="auto"/>
      </w:divBdr>
      <w:divsChild>
        <w:div w:id="1192184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6449140">
      <w:bodyDiv w:val="1"/>
      <w:marLeft w:val="0"/>
      <w:marRight w:val="0"/>
      <w:marTop w:val="0"/>
      <w:marBottom w:val="0"/>
      <w:divBdr>
        <w:top w:val="none" w:sz="0" w:space="0" w:color="auto"/>
        <w:left w:val="none" w:sz="0" w:space="0" w:color="auto"/>
        <w:bottom w:val="none" w:sz="0" w:space="0" w:color="auto"/>
        <w:right w:val="none" w:sz="0" w:space="0" w:color="auto"/>
      </w:divBdr>
    </w:div>
    <w:div w:id="2080639054">
      <w:bodyDiv w:val="1"/>
      <w:marLeft w:val="0"/>
      <w:marRight w:val="0"/>
      <w:marTop w:val="0"/>
      <w:marBottom w:val="0"/>
      <w:divBdr>
        <w:top w:val="none" w:sz="0" w:space="0" w:color="auto"/>
        <w:left w:val="none" w:sz="0" w:space="0" w:color="auto"/>
        <w:bottom w:val="none" w:sz="0" w:space="0" w:color="auto"/>
        <w:right w:val="none" w:sz="0" w:space="0" w:color="auto"/>
      </w:divBdr>
      <w:divsChild>
        <w:div w:id="1779523150">
          <w:marLeft w:val="0"/>
          <w:marRight w:val="0"/>
          <w:marTop w:val="0"/>
          <w:marBottom w:val="0"/>
          <w:divBdr>
            <w:top w:val="none" w:sz="0" w:space="0" w:color="auto"/>
            <w:left w:val="none" w:sz="0" w:space="0" w:color="auto"/>
            <w:bottom w:val="none" w:sz="0" w:space="0" w:color="auto"/>
            <w:right w:val="none" w:sz="0" w:space="0" w:color="auto"/>
          </w:divBdr>
        </w:div>
        <w:div w:id="1414356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3.weforum.org/docs/WEF_GGGR_2023.pdf?_gl=1*px04bh*_up*MQ..&amp;gclid=EAIaIQobChMIg_OB6szj_wIVfw8GAB16sAJtEAAYASAAEgKA1fD_BwE" TargetMode="External"/><Relationship Id="rId3" Type="http://schemas.openxmlformats.org/officeDocument/2006/relationships/hyperlink" Target="https://doi.org/10.1481/Istat.RapportoIstituzioniPubbliche.2024" TargetMode="External"/><Relationship Id="rId7" Type="http://schemas.openxmlformats.org/officeDocument/2006/relationships/hyperlink" Target="https://linkprotect.cudasvc.com/url?a=https%3a%2f%2fsni.unioncamere.it%2fnotizie%2fimprenditoria-femminile-i-dati-del-2023&amp;c=E,1,0nO2cN0QWd3UaxUcXjySzG4Lk3oPTLDpVfMG1rbe8fisHLvvH2Q7OC9fyTTauOAWynysd4Ym6VfqBhJjKoclpKcLn-ZD8s9KgEYGhHnKikvH__k4lKCu&amp;typo=1" TargetMode="External"/><Relationship Id="rId12" Type="http://schemas.openxmlformats.org/officeDocument/2006/relationships/hyperlink" Target="https://ec.europa.eu/employment_social/equal_consolidated/data/document/gendermain_it.pdf" TargetMode="External"/><Relationship Id="rId2" Type="http://schemas.openxmlformats.org/officeDocument/2006/relationships/hyperlink" Target="https://7ef66826.delivery.rocketcdn.me/wp-content/uploads/2025/03/Rapporto-Donne-Manageritalia-2025.pdf" TargetMode="External"/><Relationship Id="rId1" Type="http://schemas.openxmlformats.org/officeDocument/2006/relationships/hyperlink" Target="https://www.istat.it/wp-content/uploads/2025/03/istat-cnel.pdf" TargetMode="External"/><Relationship Id="rId6" Type="http://schemas.openxmlformats.org/officeDocument/2006/relationships/hyperlink" Target="https://www.unioncamere.gov.it/comunicazione/comunicati-stampa/imprese-femminili-sono-1-milione-e-325mila-nel-2023-il-222-del-totale" TargetMode="External"/><Relationship Id="rId11" Type="http://schemas.openxmlformats.org/officeDocument/2006/relationships/hyperlink" Target="https://linkprotect.cudasvc.com/url?a=https%3a%2f%2fgendercoordinationandmainstreaming.unwomen.org%2fgender-mainstreaming-global&amp;c=E,1,9O9ftpsBoDwTzKdWVFgatMko6JhRKDX3CdKG6A277D5BslMRnLQ-ueomyAf_Wh15m6lLOhyoicG6D9Kqzskb4tx-sKHLpbcz5qwEDZP61g,,&amp;typo=1" TargetMode="External"/><Relationship Id="rId5" Type="http://schemas.openxmlformats.org/officeDocument/2006/relationships/hyperlink" Target="https://contoannuale.rgs.mef.gov.it/" TargetMode="External"/><Relationship Id="rId10" Type="http://schemas.openxmlformats.org/officeDocument/2006/relationships/hyperlink" Target="https://www.rgs.mef.gov.it/VERSIONE-I/attivita_istituzionali/formazione_e_gestione_del_bilancio/rendiconto/bilancio_di_genere/" TargetMode="External"/><Relationship Id="rId4" Type="http://schemas.openxmlformats.org/officeDocument/2006/relationships/hyperlink" Target="https://doi.org/10.1481/Istat.RapportoIstituzioniPubbliche.2024" TargetMode="External"/><Relationship Id="rId9" Type="http://schemas.openxmlformats.org/officeDocument/2006/relationships/hyperlink" Target="https://www.pariopportunita.gov.it/media/2050/la_strategia_in_sintesi.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58565fd-a381-4919-906f-eaf5da6d0aa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23126A7B53E60648913E8EEE6886B6E0" ma:contentTypeVersion="15" ma:contentTypeDescription="Creare un nuovo documento." ma:contentTypeScope="" ma:versionID="e95da3f39ec4467bec0d1038633e2b8b">
  <xsd:schema xmlns:xsd="http://www.w3.org/2001/XMLSchema" xmlns:xs="http://www.w3.org/2001/XMLSchema" xmlns:p="http://schemas.microsoft.com/office/2006/metadata/properties" xmlns:ns3="958565fd-a381-4919-906f-eaf5da6d0aa6" xmlns:ns4="79b8799d-24c6-468d-8ee4-58c1156a774a" targetNamespace="http://schemas.microsoft.com/office/2006/metadata/properties" ma:root="true" ma:fieldsID="54e2866bccd6cdeb197d9cb270f0a6c9" ns3:_="" ns4:_="">
    <xsd:import namespace="958565fd-a381-4919-906f-eaf5da6d0aa6"/>
    <xsd:import namespace="79b8799d-24c6-468d-8ee4-58c1156a774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565fd-a381-4919-906f-eaf5da6d0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8799d-24c6-468d-8ee4-58c1156a774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29BD0-B9F3-4825-9989-296F47ED3F90}">
  <ds:schemaRefs>
    <ds:schemaRef ds:uri="http://schemas.microsoft.com/office/2006/metadata/properties"/>
    <ds:schemaRef ds:uri="http://schemas.microsoft.com/office/infopath/2007/PartnerControls"/>
    <ds:schemaRef ds:uri="958565fd-a381-4919-906f-eaf5da6d0aa6"/>
  </ds:schemaRefs>
</ds:datastoreItem>
</file>

<file path=customXml/itemProps2.xml><?xml version="1.0" encoding="utf-8"?>
<ds:datastoreItem xmlns:ds="http://schemas.openxmlformats.org/officeDocument/2006/customXml" ds:itemID="{C7BD54B5-50D3-4CF8-A7A8-6D7DD2AF80FD}">
  <ds:schemaRefs>
    <ds:schemaRef ds:uri="http://schemas.openxmlformats.org/officeDocument/2006/bibliography"/>
  </ds:schemaRefs>
</ds:datastoreItem>
</file>

<file path=customXml/itemProps3.xml><?xml version="1.0" encoding="utf-8"?>
<ds:datastoreItem xmlns:ds="http://schemas.openxmlformats.org/officeDocument/2006/customXml" ds:itemID="{713A8288-1020-4A6C-A7FA-CD562E3AA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565fd-a381-4919-906f-eaf5da6d0aa6"/>
    <ds:schemaRef ds:uri="79b8799d-24c6-468d-8ee4-58c1156a7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BFD51E-080F-4F57-9A81-63A269599A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35</Pages>
  <Words>10673</Words>
  <Characters>60839</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UNI/PdR</vt:lpstr>
    </vt:vector>
  </TitlesOfParts>
  <Company>UNI</Company>
  <LinksUpToDate>false</LinksUpToDate>
  <CharactersWithSpaces>71370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UNI/PdR</dc:title>
  <dc:creator>Elena Mocchio</dc:creator>
  <cp:lastModifiedBy>Mario Gallo</cp:lastModifiedBy>
  <cp:revision>26</cp:revision>
  <cp:lastPrinted>2025-05-12T14:07:00Z</cp:lastPrinted>
  <dcterms:created xsi:type="dcterms:W3CDTF">2025-06-18T10:04:00Z</dcterms:created>
  <dcterms:modified xsi:type="dcterms:W3CDTF">2025-07-11T10:42:00Z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0x01010023126A7B53E60648913E8EEE6886B6E0</vt:lpwstr>
  </property>
</Properties>
</file>